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DB29" w14:textId="77777777" w:rsidR="005556C9" w:rsidRPr="00C018B7" w:rsidRDefault="005556C9" w:rsidP="005556C9">
      <w:pPr>
        <w:shd w:val="clear" w:color="auto" w:fill="FFFFFF"/>
        <w:spacing w:before="100" w:beforeAutospacing="1" w:after="121" w:line="276" w:lineRule="auto"/>
        <w:ind w:left="142" w:hanging="654"/>
        <w:contextualSpacing/>
        <w:jc w:val="both"/>
        <w:rPr>
          <w:bCs/>
          <w:sz w:val="28"/>
          <w:szCs w:val="28"/>
          <w:lang w:val="ru-RU" w:eastAsia="ru-RU"/>
        </w:rPr>
      </w:pPr>
    </w:p>
    <w:tbl>
      <w:tblPr>
        <w:tblW w:w="8789" w:type="dxa"/>
        <w:tblInd w:w="562" w:type="dxa"/>
        <w:tblLook w:val="04A0" w:firstRow="1" w:lastRow="0" w:firstColumn="1" w:lastColumn="0" w:noHBand="0" w:noVBand="1"/>
      </w:tblPr>
      <w:tblGrid>
        <w:gridCol w:w="562"/>
        <w:gridCol w:w="5103"/>
        <w:gridCol w:w="3124"/>
      </w:tblGrid>
      <w:tr w:rsidR="005556C9" w:rsidRPr="0064177B" w14:paraId="35B5C572" w14:textId="77777777" w:rsidTr="005556C9">
        <w:trPr>
          <w:trHeight w:val="15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BB4A" w14:textId="77777777" w:rsidR="005556C9" w:rsidRDefault="005556C9" w:rsidP="009B7932">
            <w:pPr>
              <w:spacing w:line="276" w:lineRule="auto"/>
              <w:contextualSpacing/>
              <w:jc w:val="center"/>
              <w:rPr>
                <w:b/>
                <w:bCs/>
                <w:color w:val="FF0000"/>
                <w:lang w:val="ru-RU" w:eastAsia="ru-RU"/>
              </w:rPr>
            </w:pPr>
          </w:p>
          <w:p w14:paraId="5DA3C627" w14:textId="77777777" w:rsidR="0064177B" w:rsidRPr="0064177B" w:rsidRDefault="0064177B" w:rsidP="0064177B">
            <w:pPr>
              <w:spacing w:line="276" w:lineRule="auto"/>
              <w:contextualSpacing/>
              <w:jc w:val="center"/>
              <w:rPr>
                <w:b/>
                <w:bCs/>
                <w:lang w:eastAsia="ru-RU"/>
              </w:rPr>
            </w:pPr>
            <w:r w:rsidRPr="0064177B">
              <w:rPr>
                <w:b/>
                <w:bCs/>
                <w:lang w:eastAsia="ru-RU"/>
              </w:rPr>
              <w:t>“FORS</w:t>
            </w:r>
            <w:r w:rsidRPr="0064177B">
              <w:rPr>
                <w:b/>
                <w:bCs/>
                <w:lang w:val="ru-RU" w:eastAsia="ru-RU"/>
              </w:rPr>
              <w:t>А</w:t>
            </w:r>
            <w:r w:rsidRPr="0064177B">
              <w:rPr>
                <w:b/>
                <w:bCs/>
                <w:lang w:eastAsia="ru-RU"/>
              </w:rPr>
              <w:t>J” TARIFI *</w:t>
            </w:r>
          </w:p>
          <w:p w14:paraId="6EF5B775" w14:textId="77777777" w:rsidR="0064177B" w:rsidRPr="0064177B" w:rsidRDefault="0064177B" w:rsidP="0064177B">
            <w:pPr>
              <w:spacing w:line="276" w:lineRule="auto"/>
              <w:contextualSpacing/>
              <w:jc w:val="center"/>
              <w:rPr>
                <w:b/>
                <w:bCs/>
                <w:lang w:eastAsia="ru-RU"/>
              </w:rPr>
            </w:pPr>
            <w:proofErr w:type="spellStart"/>
            <w:proofErr w:type="gramStart"/>
            <w:r w:rsidRPr="0064177B">
              <w:rPr>
                <w:b/>
                <w:bCs/>
                <w:lang w:eastAsia="ru-RU"/>
              </w:rPr>
              <w:t>Yoqilg‘</w:t>
            </w:r>
            <w:proofErr w:type="gramEnd"/>
            <w:r w:rsidRPr="0064177B">
              <w:rPr>
                <w:b/>
                <w:bCs/>
                <w:lang w:eastAsia="ru-RU"/>
              </w:rPr>
              <w:t>i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quyish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shoxobchalari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(</w:t>
            </w:r>
            <w:proofErr w:type="spellStart"/>
            <w:r w:rsidRPr="0064177B">
              <w:rPr>
                <w:b/>
                <w:bCs/>
                <w:lang w:eastAsia="ru-RU"/>
              </w:rPr>
              <w:t>AYOQSh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) </w:t>
            </w:r>
            <w:proofErr w:type="spellStart"/>
            <w:r w:rsidRPr="0064177B">
              <w:rPr>
                <w:b/>
                <w:bCs/>
                <w:lang w:eastAsia="ru-RU"/>
              </w:rPr>
              <w:t>uchun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topshiriqlarni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bajarish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64177B">
              <w:rPr>
                <w:b/>
                <w:bCs/>
                <w:lang w:eastAsia="ru-RU"/>
              </w:rPr>
              <w:t>bo‘</w:t>
            </w:r>
            <w:proofErr w:type="gramEnd"/>
            <w:r w:rsidRPr="0064177B">
              <w:rPr>
                <w:b/>
                <w:bCs/>
                <w:lang w:eastAsia="ru-RU"/>
              </w:rPr>
              <w:t>yicha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komission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64177B">
              <w:rPr>
                <w:b/>
                <w:bCs/>
                <w:lang w:eastAsia="ru-RU"/>
              </w:rPr>
              <w:t>to‘</w:t>
            </w:r>
            <w:proofErr w:type="gramEnd"/>
            <w:r w:rsidRPr="0064177B">
              <w:rPr>
                <w:b/>
                <w:bCs/>
                <w:lang w:eastAsia="ru-RU"/>
              </w:rPr>
              <w:t>lovlar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tariflari</w:t>
            </w:r>
            <w:proofErr w:type="spellEnd"/>
          </w:p>
          <w:p w14:paraId="30E3FEE1" w14:textId="0B66204D" w:rsidR="005556C9" w:rsidRPr="0064177B" w:rsidRDefault="0064177B" w:rsidP="0064177B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4177B">
              <w:rPr>
                <w:b/>
                <w:bCs/>
                <w:lang w:eastAsia="ru-RU"/>
              </w:rPr>
              <w:t>Mazkur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tarifning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amal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qilish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muddati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— 2026-yil 1-apreldan 2026-yil 1-oktabrgacha.</w:t>
            </w:r>
          </w:p>
        </w:tc>
      </w:tr>
      <w:tr w:rsidR="005556C9" w:rsidRPr="00654557" w14:paraId="3E9EFA89" w14:textId="77777777" w:rsidTr="005556C9">
        <w:trPr>
          <w:trHeight w:val="6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79BD" w14:textId="66A9B038" w:rsidR="005556C9" w:rsidRPr="005556C9" w:rsidRDefault="0064177B" w:rsidP="009B7932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64177B">
              <w:rPr>
                <w:b/>
                <w:bCs/>
                <w:lang w:eastAsia="ru-RU"/>
              </w:rPr>
              <w:t>Milliy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valyutadagi</w:t>
            </w:r>
            <w:proofErr w:type="spellEnd"/>
            <w:r w:rsidRPr="006417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64177B">
              <w:rPr>
                <w:b/>
                <w:bCs/>
                <w:lang w:eastAsia="ru-RU"/>
              </w:rPr>
              <w:t>operatsiyalar</w:t>
            </w:r>
            <w:proofErr w:type="spellEnd"/>
          </w:p>
        </w:tc>
      </w:tr>
      <w:tr w:rsidR="0064177B" w:rsidRPr="00654557" w14:paraId="40069044" w14:textId="77777777" w:rsidTr="00DE154F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E406B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433A" w14:textId="6D05A6C9" w:rsidR="0064177B" w:rsidRPr="00654557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Asosiy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hisobvaraqni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ochish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F9BC" w14:textId="7AED485A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0C37297B" w14:textId="77777777" w:rsidTr="00DE154F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5AEA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1B785" w14:textId="4A3099F5" w:rsidR="0064177B" w:rsidRPr="00654557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Ikkinchi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darajali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hisobvaraqni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ochish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5476" w14:textId="20359AEF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19C58F2A" w14:textId="77777777" w:rsidTr="00DE154F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1BC4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FE00" w14:textId="76E0C28C" w:rsidR="0064177B" w:rsidRPr="00654557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Hisobvaraqlarni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yopish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30FF" w14:textId="06A92990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73F47CD3" w14:textId="77777777" w:rsidTr="00DE154F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00B8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2711B" w14:textId="4092C653" w:rsidR="0064177B" w:rsidRPr="00654557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Mijoz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hisobvarag‘</w:t>
            </w:r>
            <w:proofErr w:type="gramEnd"/>
            <w:r w:rsidRPr="00274696">
              <w:t>ini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qayta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ro‘</w:t>
            </w:r>
            <w:proofErr w:type="gramEnd"/>
            <w:r w:rsidRPr="00274696">
              <w:t>yxatdan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o‘</w:t>
            </w:r>
            <w:proofErr w:type="gramEnd"/>
            <w:r w:rsidRPr="00274696">
              <w:t>tkazish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DF9E" w14:textId="7D9B3D54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18878857" w14:textId="77777777" w:rsidTr="00DE154F">
        <w:trPr>
          <w:trHeight w:val="8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8EFC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B156B" w14:textId="7F6CD319" w:rsidR="0064177B" w:rsidRPr="0064177B" w:rsidRDefault="0064177B" w:rsidP="0064177B">
            <w:pPr>
              <w:rPr>
                <w:lang w:eastAsia="ru-RU"/>
              </w:rPr>
            </w:pPr>
            <w:r w:rsidRPr="00274696">
              <w:t xml:space="preserve">“Garant bank” AJ </w:t>
            </w:r>
            <w:proofErr w:type="spellStart"/>
            <w:r w:rsidRPr="00274696">
              <w:t>tizimi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ichida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hujjati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asosida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mablag</w:t>
            </w:r>
            <w:proofErr w:type="spellEnd"/>
            <w:r w:rsidRPr="00274696">
              <w:t xml:space="preserve">‘ </w:t>
            </w:r>
            <w:proofErr w:type="spellStart"/>
            <w:r w:rsidRPr="00274696">
              <w:t>o</w:t>
            </w:r>
            <w:proofErr w:type="gramEnd"/>
            <w:r w:rsidRPr="00274696">
              <w:t>‘tkazish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625E" w14:textId="3F4F5E5E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13CE3F22" w14:textId="77777777" w:rsidTr="00DE154F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436E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93ED" w14:textId="5FD6A2FD" w:rsidR="0064177B" w:rsidRPr="0064177B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Hisobvaraqni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yuritish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va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unga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xizmat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ko‘</w:t>
            </w:r>
            <w:proofErr w:type="gramEnd"/>
            <w:r w:rsidRPr="00274696">
              <w:t>rsatish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uchun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oylik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abonent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lovi</w:t>
            </w:r>
            <w:proofErr w:type="spellEnd"/>
            <w:r w:rsidRPr="00274696">
              <w:t xml:space="preserve"> (</w:t>
            </w:r>
            <w:proofErr w:type="spellStart"/>
            <w:r w:rsidRPr="00274696">
              <w:t>asosiy</w:t>
            </w:r>
            <w:proofErr w:type="spellEnd"/>
            <w:r w:rsidRPr="00274696">
              <w:t>/</w:t>
            </w:r>
            <w:proofErr w:type="spellStart"/>
            <w:r w:rsidRPr="00274696">
              <w:t>ikkinchi</w:t>
            </w:r>
            <w:proofErr w:type="spellEnd"/>
            <w:r w:rsidRPr="00274696">
              <w:t>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B116" w14:textId="1DCD4553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4177B" w14:paraId="3BAF44FC" w14:textId="77777777" w:rsidTr="00DE154F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C049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8E8D" w14:textId="1AFC7D04" w:rsidR="0064177B" w:rsidRPr="0064177B" w:rsidRDefault="0064177B" w:rsidP="0064177B">
            <w:pPr>
              <w:rPr>
                <w:lang w:eastAsia="ru-RU"/>
              </w:rPr>
            </w:pP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hujjati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asosida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mablag</w:t>
            </w:r>
            <w:proofErr w:type="spellEnd"/>
            <w:r w:rsidRPr="00274696">
              <w:t xml:space="preserve">‘ </w:t>
            </w:r>
            <w:proofErr w:type="spellStart"/>
            <w:r w:rsidRPr="00274696">
              <w:t>o</w:t>
            </w:r>
            <w:proofErr w:type="gramEnd"/>
            <w:r w:rsidRPr="00274696">
              <w:t>‘tkazish</w:t>
            </w:r>
            <w:proofErr w:type="spellEnd"/>
            <w:r w:rsidRPr="00274696">
              <w:t xml:space="preserve"> (</w:t>
            </w:r>
            <w:proofErr w:type="spellStart"/>
            <w:r w:rsidRPr="00274696">
              <w:t>debet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aylanmasi</w:t>
            </w:r>
            <w:proofErr w:type="spellEnd"/>
            <w:r w:rsidRPr="00274696">
              <w:t>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B5DA" w14:textId="47BF6FFF" w:rsidR="0064177B" w:rsidRPr="0064177B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Dastlabki</w:t>
            </w:r>
            <w:proofErr w:type="spellEnd"/>
            <w:r w:rsidRPr="00274696">
              <w:t xml:space="preserve"> 6 oy — </w:t>
            </w:r>
            <w:proofErr w:type="spellStart"/>
            <w:r w:rsidRPr="00274696">
              <w:t>bepul</w:t>
            </w:r>
            <w:proofErr w:type="spellEnd"/>
            <w:r w:rsidRPr="00274696">
              <w:t xml:space="preserve">, 6 </w:t>
            </w:r>
            <w:proofErr w:type="spellStart"/>
            <w:r w:rsidRPr="00274696">
              <w:t>oydan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so‘</w:t>
            </w:r>
            <w:proofErr w:type="gramEnd"/>
            <w:r w:rsidRPr="00274696">
              <w:t>ng</w:t>
            </w:r>
            <w:proofErr w:type="spellEnd"/>
            <w:r w:rsidRPr="00274696">
              <w:t xml:space="preserve"> — 0,1%</w:t>
            </w:r>
          </w:p>
        </w:tc>
      </w:tr>
      <w:tr w:rsidR="0064177B" w:rsidRPr="00654557" w14:paraId="206E5408" w14:textId="77777777" w:rsidTr="00DE154F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5AC0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46478" w14:textId="0F2A1004" w:rsidR="0064177B" w:rsidRPr="0064177B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Boshqa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bankka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o‘</w:t>
            </w:r>
            <w:proofErr w:type="gramEnd"/>
            <w:r w:rsidRPr="00274696">
              <w:t>tkazish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uchun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hujjatlarni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tayyorlash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3EEF" w14:textId="519060B0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02AB85A8" w14:textId="77777777" w:rsidTr="00DE154F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7E63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80BF" w14:textId="0D664A19" w:rsidR="0064177B" w:rsidRPr="0064177B" w:rsidRDefault="0064177B" w:rsidP="0064177B">
            <w:pPr>
              <w:rPr>
                <w:lang w:eastAsia="ru-RU"/>
              </w:rPr>
            </w:pPr>
            <w:proofErr w:type="spellStart"/>
            <w:r w:rsidRPr="00274696">
              <w:t>Soliqlar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va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boshqa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majburiy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lovlarni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amalga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oshirish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DEA1" w14:textId="1EE03BCF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3C3A9C3A" w14:textId="77777777" w:rsidTr="00DE154F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363B" w14:textId="77777777" w:rsidR="0064177B" w:rsidRPr="00654557" w:rsidRDefault="0064177B" w:rsidP="0064177B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31C2" w14:textId="4666047A" w:rsidR="0064177B" w:rsidRPr="0064177B" w:rsidRDefault="0064177B" w:rsidP="0064177B">
            <w:pPr>
              <w:rPr>
                <w:lang w:eastAsia="ru-RU"/>
              </w:rPr>
            </w:pPr>
            <w:r w:rsidRPr="00274696">
              <w:t xml:space="preserve">Ish </w:t>
            </w:r>
            <w:proofErr w:type="spellStart"/>
            <w:r w:rsidRPr="00274696">
              <w:t>haqi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va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unga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tenglashtirilgan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lovlar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uchun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naqd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pul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berish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58C0C" w14:textId="265361E4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7091375D" w14:textId="77777777" w:rsidTr="00DE154F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375C" w14:textId="77777777" w:rsidR="0064177B" w:rsidRPr="00654557" w:rsidRDefault="0064177B" w:rsidP="0064177B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998B" w14:textId="7574ED83" w:rsidR="0064177B" w:rsidRPr="0064177B" w:rsidRDefault="0064177B" w:rsidP="0064177B">
            <w:pPr>
              <w:rPr>
                <w:lang w:eastAsia="ru-RU"/>
              </w:rPr>
            </w:pPr>
            <w:proofErr w:type="spellStart"/>
            <w:proofErr w:type="gramStart"/>
            <w:r w:rsidRPr="00274696">
              <w:t>To‘</w:t>
            </w:r>
            <w:proofErr w:type="gramEnd"/>
            <w:r w:rsidRPr="00274696">
              <w:t>lovlarni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qabul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qilish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terminallarini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ijaraga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berish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2A29" w14:textId="2D34299A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64177B" w:rsidRPr="00654557" w14:paraId="3F330CF3" w14:textId="77777777" w:rsidTr="00DE154F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E05EE23" w14:textId="77777777" w:rsidR="0064177B" w:rsidRPr="00654557" w:rsidRDefault="0064177B" w:rsidP="0064177B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783A" w14:textId="5EC292B0" w:rsidR="0064177B" w:rsidRPr="0064177B" w:rsidRDefault="0064177B" w:rsidP="0064177B">
            <w:pPr>
              <w:rPr>
                <w:lang w:eastAsia="ru-RU"/>
              </w:rPr>
            </w:pPr>
            <w:r w:rsidRPr="00274696">
              <w:t xml:space="preserve">Internet-banking / Mobile-banking </w:t>
            </w:r>
            <w:proofErr w:type="spellStart"/>
            <w:r w:rsidRPr="00274696">
              <w:t>tizimi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orqali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mijoz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hisobvaraqlarini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yuritish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va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ularga</w:t>
            </w:r>
            <w:proofErr w:type="spellEnd"/>
            <w:r w:rsidRPr="00274696">
              <w:t xml:space="preserve"> </w:t>
            </w:r>
            <w:proofErr w:type="spellStart"/>
            <w:r w:rsidRPr="00274696">
              <w:t>xizmat</w:t>
            </w:r>
            <w:proofErr w:type="spellEnd"/>
            <w:r w:rsidRPr="00274696">
              <w:t xml:space="preserve"> </w:t>
            </w:r>
            <w:proofErr w:type="spellStart"/>
            <w:proofErr w:type="gramStart"/>
            <w:r w:rsidRPr="00274696">
              <w:t>ko‘</w:t>
            </w:r>
            <w:proofErr w:type="gramEnd"/>
            <w:r w:rsidRPr="00274696">
              <w:t>rsatish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A15CD" w14:textId="4851B9BA" w:rsidR="0064177B" w:rsidRPr="00654557" w:rsidRDefault="0064177B" w:rsidP="0064177B">
            <w:pPr>
              <w:rPr>
                <w:b/>
                <w:bCs/>
                <w:color w:val="FF0000"/>
                <w:u w:val="single"/>
                <w:lang w:eastAsia="ru-RU"/>
              </w:rPr>
            </w:pPr>
            <w:proofErr w:type="spellStart"/>
            <w:r w:rsidRPr="00274696">
              <w:t>Bepul</w:t>
            </w:r>
            <w:proofErr w:type="spellEnd"/>
          </w:p>
        </w:tc>
      </w:tr>
      <w:tr w:rsidR="005556C9" w:rsidRPr="0064177B" w14:paraId="2317A616" w14:textId="77777777" w:rsidTr="005556C9">
        <w:trPr>
          <w:trHeight w:val="167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97F4" w14:textId="77777777" w:rsidR="005556C9" w:rsidRPr="0064177B" w:rsidRDefault="005556C9" w:rsidP="009B7932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  <w:p w14:paraId="0493545A" w14:textId="3D0CA51B" w:rsidR="005556C9" w:rsidRPr="0064177B" w:rsidRDefault="005556C9" w:rsidP="009B7932">
            <w:pPr>
              <w:spacing w:line="276" w:lineRule="auto"/>
              <w:contextualSpacing/>
              <w:jc w:val="both"/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       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Mazkur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tarif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faqat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yangi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jalb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etilgan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yoqilg‘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quyish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shoxobchalari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(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AYOQSh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)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uchun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amal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qiladi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hamda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neft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mahsulotlarini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qabul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qilish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saqlash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va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taqsimlash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faoliyatini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amalga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oshirish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uchun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ruxsat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beruvchi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hujjatga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ega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bo‘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lgan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subyektlarga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nisbatan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qo‘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llaniladi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Ushbu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talablar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O‘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zbekiston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Respublikasining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№</w:t>
            </w:r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O‘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RQ-701-sonli “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Litsenziyalash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ruxsat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berish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va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xabardor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qilish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tartib-taomillari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to‘g‘</w:t>
            </w:r>
            <w:proofErr w:type="gram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risida”gi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Qonuniga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muvofiq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belgilanadi</w:t>
            </w:r>
            <w:proofErr w:type="spellEnd"/>
            <w:r w:rsidR="0064177B" w:rsidRPr="0064177B">
              <w:rPr>
                <w:rFonts w:eastAsiaTheme="minorHAnsi"/>
                <w:color w:val="FF0000"/>
                <w:sz w:val="20"/>
                <w:szCs w:val="20"/>
              </w:rPr>
              <w:t>.</w:t>
            </w:r>
          </w:p>
        </w:tc>
      </w:tr>
      <w:tr w:rsidR="005556C9" w:rsidRPr="0064177B" w14:paraId="2E9F3A57" w14:textId="77777777" w:rsidTr="005556C9">
        <w:trPr>
          <w:trHeight w:val="4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934" w14:textId="77777777" w:rsidR="0064177B" w:rsidRPr="0064177B" w:rsidRDefault="0064177B" w:rsidP="0064177B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4177B">
              <w:rPr>
                <w:sz w:val="20"/>
                <w:szCs w:val="20"/>
                <w:lang w:eastAsia="ru-RU"/>
              </w:rPr>
              <w:t>Qolgan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77B">
              <w:rPr>
                <w:sz w:val="20"/>
                <w:szCs w:val="20"/>
                <w:lang w:eastAsia="ru-RU"/>
              </w:rPr>
              <w:t>xizmatlar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“Garant bank” </w:t>
            </w:r>
            <w:proofErr w:type="spellStart"/>
            <w:r w:rsidRPr="0064177B">
              <w:rPr>
                <w:sz w:val="20"/>
                <w:szCs w:val="20"/>
                <w:lang w:eastAsia="ru-RU"/>
              </w:rPr>
              <w:t>AJning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77B">
              <w:rPr>
                <w:sz w:val="20"/>
                <w:szCs w:val="20"/>
                <w:lang w:eastAsia="ru-RU"/>
              </w:rPr>
              <w:t>amaldagi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77B">
              <w:rPr>
                <w:sz w:val="20"/>
                <w:szCs w:val="20"/>
                <w:lang w:eastAsia="ru-RU"/>
              </w:rPr>
              <w:t>tariflariga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77B">
              <w:rPr>
                <w:sz w:val="20"/>
                <w:szCs w:val="20"/>
                <w:lang w:eastAsia="ru-RU"/>
              </w:rPr>
              <w:t>muvofiq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4177B">
              <w:rPr>
                <w:sz w:val="20"/>
                <w:szCs w:val="20"/>
                <w:lang w:eastAsia="ru-RU"/>
              </w:rPr>
              <w:t>to‘</w:t>
            </w:r>
            <w:proofErr w:type="gramEnd"/>
            <w:r w:rsidRPr="0064177B">
              <w:rPr>
                <w:sz w:val="20"/>
                <w:szCs w:val="20"/>
                <w:lang w:eastAsia="ru-RU"/>
              </w:rPr>
              <w:t>lanadi</w:t>
            </w:r>
            <w:proofErr w:type="spellEnd"/>
            <w:r w:rsidRPr="0064177B">
              <w:rPr>
                <w:sz w:val="20"/>
                <w:szCs w:val="20"/>
                <w:lang w:eastAsia="ru-RU"/>
              </w:rPr>
              <w:t>.</w:t>
            </w:r>
          </w:p>
          <w:p w14:paraId="3093BBFA" w14:textId="77777777" w:rsidR="005556C9" w:rsidRPr="0064177B" w:rsidRDefault="005556C9" w:rsidP="009B7932">
            <w:pPr>
              <w:jc w:val="center"/>
              <w:rPr>
                <w:b/>
                <w:lang w:eastAsia="ru-RU"/>
              </w:rPr>
            </w:pPr>
          </w:p>
        </w:tc>
      </w:tr>
    </w:tbl>
    <w:p w14:paraId="2D8DF140" w14:textId="77777777" w:rsidR="005556C9" w:rsidRPr="0064177B" w:rsidRDefault="005556C9" w:rsidP="005556C9"/>
    <w:sectPr w:rsidR="005556C9" w:rsidRPr="0064177B" w:rsidSect="005556C9"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C9"/>
    <w:rsid w:val="005320B4"/>
    <w:rsid w:val="005556C9"/>
    <w:rsid w:val="0064177B"/>
    <w:rsid w:val="006E672E"/>
    <w:rsid w:val="0080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721C"/>
  <w15:chartTrackingRefBased/>
  <w15:docId w15:val="{1FA1EFAB-EDCE-47FF-AC02-3A99363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Sabina Xamidova</cp:lastModifiedBy>
  <cp:revision>2</cp:revision>
  <dcterms:created xsi:type="dcterms:W3CDTF">2026-04-27T11:30:00Z</dcterms:created>
  <dcterms:modified xsi:type="dcterms:W3CDTF">2026-04-27T11:30:00Z</dcterms:modified>
</cp:coreProperties>
</file>