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8ADDD" w14:textId="77777777" w:rsidR="00E7357D" w:rsidRPr="00E7357D" w:rsidRDefault="00E7357D" w:rsidP="002D3656">
      <w:pPr>
        <w:pStyle w:val="af0"/>
        <w:jc w:val="center"/>
        <w:rPr>
          <w:b/>
          <w:bCs/>
          <w:lang w:val="en-US" w:eastAsia="ru-RU"/>
        </w:rPr>
      </w:pPr>
      <w:r w:rsidRPr="00E7357D">
        <w:rPr>
          <w:b/>
          <w:bCs/>
          <w:lang w:val="en-US" w:eastAsia="ru-RU"/>
        </w:rPr>
        <w:t>PUBLIC OFFER</w:t>
      </w:r>
    </w:p>
    <w:p w14:paraId="5342DED6" w14:textId="77777777" w:rsidR="00E7357D" w:rsidRDefault="00E7357D" w:rsidP="002D3656">
      <w:pPr>
        <w:pStyle w:val="af0"/>
        <w:jc w:val="center"/>
        <w:rPr>
          <w:b/>
          <w:bCs/>
          <w:kern w:val="0"/>
          <w:sz w:val="24"/>
          <w:szCs w:val="24"/>
          <w:lang w:val="en-US" w:eastAsia="ru-RU"/>
        </w:rPr>
      </w:pPr>
      <w:r w:rsidRPr="00E7357D">
        <w:rPr>
          <w:b/>
          <w:bCs/>
          <w:kern w:val="0"/>
          <w:sz w:val="24"/>
          <w:szCs w:val="24"/>
          <w:lang w:val="en-US" w:eastAsia="ru-RU"/>
        </w:rPr>
        <w:t>for the Promotion</w:t>
      </w:r>
      <w:r w:rsidRPr="00E7357D">
        <w:rPr>
          <w:b/>
          <w:bCs/>
          <w:kern w:val="0"/>
          <w:sz w:val="24"/>
          <w:szCs w:val="24"/>
          <w:lang w:val="en-US" w:eastAsia="ru-RU"/>
        </w:rPr>
        <w:br/>
        <w:t>“Fuel Card with Balance”</w:t>
      </w:r>
    </w:p>
    <w:p w14:paraId="00B310E1" w14:textId="77777777" w:rsidR="002D3656" w:rsidRPr="00E7357D" w:rsidRDefault="002D3656" w:rsidP="002D3656">
      <w:pPr>
        <w:pStyle w:val="af0"/>
        <w:jc w:val="center"/>
        <w:rPr>
          <w:b/>
          <w:bCs/>
          <w:kern w:val="0"/>
          <w:sz w:val="24"/>
          <w:szCs w:val="24"/>
          <w:lang w:val="en-US" w:eastAsia="ru-RU"/>
        </w:rPr>
      </w:pPr>
    </w:p>
    <w:p w14:paraId="476B92A1" w14:textId="77777777" w:rsidR="00E7357D" w:rsidRPr="00E7357D" w:rsidRDefault="00E7357D" w:rsidP="002D3656">
      <w:pPr>
        <w:spacing w:after="0"/>
        <w:ind w:firstLine="709"/>
        <w:jc w:val="both"/>
        <w:rPr>
          <w:rFonts w:eastAsia="Times New Roman" w:cs="Times New Roman"/>
          <w:kern w:val="0"/>
          <w:sz w:val="24"/>
          <w:szCs w:val="24"/>
          <w:lang w:val="en-US" w:eastAsia="ru-RU"/>
          <w14:ligatures w14:val="none"/>
        </w:rPr>
      </w:pPr>
      <w:r w:rsidRPr="00E7357D">
        <w:rPr>
          <w:rFonts w:eastAsia="Times New Roman" w:cs="Times New Roman"/>
          <w:kern w:val="0"/>
          <w:sz w:val="24"/>
          <w:szCs w:val="24"/>
          <w:lang w:val="en-US" w:eastAsia="ru-RU"/>
          <w14:ligatures w14:val="none"/>
        </w:rPr>
        <w:t xml:space="preserve">This Public Offer (the </w:t>
      </w:r>
      <w:r w:rsidRPr="00E7357D">
        <w:rPr>
          <w:rFonts w:eastAsia="Times New Roman" w:cs="Times New Roman"/>
          <w:b/>
          <w:bCs/>
          <w:kern w:val="0"/>
          <w:sz w:val="24"/>
          <w:szCs w:val="24"/>
          <w:lang w:val="en-US" w:eastAsia="ru-RU"/>
          <w14:ligatures w14:val="none"/>
        </w:rPr>
        <w:t>“Offer”</w:t>
      </w:r>
      <w:r w:rsidRPr="00E7357D">
        <w:rPr>
          <w:rFonts w:eastAsia="Times New Roman" w:cs="Times New Roman"/>
          <w:kern w:val="0"/>
          <w:sz w:val="24"/>
          <w:szCs w:val="24"/>
          <w:lang w:val="en-US" w:eastAsia="ru-RU"/>
          <w14:ligatures w14:val="none"/>
        </w:rPr>
        <w:t xml:space="preserve">) sets out the terms and conditions for participating in the promotional campaign </w:t>
      </w:r>
      <w:r w:rsidRPr="00E7357D">
        <w:rPr>
          <w:rFonts w:eastAsia="Times New Roman" w:cs="Times New Roman"/>
          <w:b/>
          <w:bCs/>
          <w:kern w:val="0"/>
          <w:sz w:val="24"/>
          <w:szCs w:val="24"/>
          <w:lang w:val="en-US" w:eastAsia="ru-RU"/>
          <w14:ligatures w14:val="none"/>
        </w:rPr>
        <w:t>“Fuel Card with Balance”</w:t>
      </w:r>
      <w:r w:rsidRPr="00E7357D">
        <w:rPr>
          <w:rFonts w:eastAsia="Times New Roman" w:cs="Times New Roman"/>
          <w:kern w:val="0"/>
          <w:sz w:val="24"/>
          <w:szCs w:val="24"/>
          <w:lang w:val="en-US" w:eastAsia="ru-RU"/>
          <w14:ligatures w14:val="none"/>
        </w:rPr>
        <w:t xml:space="preserve"> (the </w:t>
      </w:r>
      <w:r w:rsidRPr="00E7357D">
        <w:rPr>
          <w:rFonts w:eastAsia="Times New Roman" w:cs="Times New Roman"/>
          <w:b/>
          <w:bCs/>
          <w:kern w:val="0"/>
          <w:sz w:val="24"/>
          <w:szCs w:val="24"/>
          <w:lang w:val="en-US" w:eastAsia="ru-RU"/>
          <w14:ligatures w14:val="none"/>
        </w:rPr>
        <w:t>“Promotion”</w:t>
      </w:r>
      <w:r w:rsidRPr="00E7357D">
        <w:rPr>
          <w:rFonts w:eastAsia="Times New Roman" w:cs="Times New Roman"/>
          <w:kern w:val="0"/>
          <w:sz w:val="24"/>
          <w:szCs w:val="24"/>
          <w:lang w:val="en-US" w:eastAsia="ru-RU"/>
          <w14:ligatures w14:val="none"/>
        </w:rPr>
        <w:t xml:space="preserve">) run by </w:t>
      </w:r>
      <w:r w:rsidRPr="00E7357D">
        <w:rPr>
          <w:rFonts w:eastAsia="Times New Roman" w:cs="Times New Roman"/>
          <w:b/>
          <w:bCs/>
          <w:kern w:val="0"/>
          <w:sz w:val="24"/>
          <w:szCs w:val="24"/>
          <w:lang w:val="en-US" w:eastAsia="ru-RU"/>
          <w14:ligatures w14:val="none"/>
        </w:rPr>
        <w:t>JSC Garant Bank</w:t>
      </w:r>
      <w:r w:rsidRPr="00E7357D">
        <w:rPr>
          <w:rFonts w:eastAsia="Times New Roman" w:cs="Times New Roman"/>
          <w:kern w:val="0"/>
          <w:sz w:val="24"/>
          <w:szCs w:val="24"/>
          <w:lang w:val="en-US" w:eastAsia="ru-RU"/>
          <w14:ligatures w14:val="none"/>
        </w:rPr>
        <w:t xml:space="preserve"> (the </w:t>
      </w:r>
      <w:r w:rsidRPr="00E7357D">
        <w:rPr>
          <w:rFonts w:eastAsia="Times New Roman" w:cs="Times New Roman"/>
          <w:b/>
          <w:bCs/>
          <w:kern w:val="0"/>
          <w:sz w:val="24"/>
          <w:szCs w:val="24"/>
          <w:lang w:val="en-US" w:eastAsia="ru-RU"/>
          <w14:ligatures w14:val="none"/>
        </w:rPr>
        <w:t>“Bank”</w:t>
      </w:r>
      <w:r w:rsidRPr="00E7357D">
        <w:rPr>
          <w:rFonts w:eastAsia="Times New Roman" w:cs="Times New Roman"/>
          <w:kern w:val="0"/>
          <w:sz w:val="24"/>
          <w:szCs w:val="24"/>
          <w:lang w:val="en-US" w:eastAsia="ru-RU"/>
          <w14:ligatures w14:val="none"/>
        </w:rPr>
        <w:t>).</w:t>
      </w:r>
    </w:p>
    <w:p w14:paraId="04E510FE" w14:textId="77777777" w:rsidR="00E7357D" w:rsidRDefault="00E7357D" w:rsidP="002D3656">
      <w:pPr>
        <w:spacing w:after="0"/>
        <w:ind w:firstLine="709"/>
        <w:jc w:val="both"/>
        <w:rPr>
          <w:rFonts w:eastAsia="Times New Roman" w:cs="Times New Roman"/>
          <w:kern w:val="0"/>
          <w:sz w:val="24"/>
          <w:szCs w:val="24"/>
          <w:lang w:val="en-US" w:eastAsia="ru-RU"/>
          <w14:ligatures w14:val="none"/>
        </w:rPr>
      </w:pPr>
      <w:r w:rsidRPr="00E7357D">
        <w:rPr>
          <w:rFonts w:eastAsia="Times New Roman" w:cs="Times New Roman"/>
          <w:kern w:val="0"/>
          <w:sz w:val="24"/>
          <w:szCs w:val="24"/>
          <w:lang w:val="en-US" w:eastAsia="ru-RU"/>
          <w14:ligatures w14:val="none"/>
        </w:rPr>
        <w:t>This Offer is made to the general public. By taking part in the Promotion, you agree to these terms. Your participation is considered acceptance of this Offer in accordance with Articles 367–369 of the Civil Code of the Republic of Uzbekistan.</w:t>
      </w:r>
    </w:p>
    <w:p w14:paraId="09C0663D" w14:textId="77777777" w:rsidR="002D3656" w:rsidRPr="00E7357D" w:rsidRDefault="002D3656" w:rsidP="002D3656">
      <w:pPr>
        <w:spacing w:after="0"/>
        <w:ind w:firstLine="709"/>
        <w:jc w:val="both"/>
        <w:rPr>
          <w:rFonts w:eastAsia="Times New Roman" w:cs="Times New Roman"/>
          <w:kern w:val="0"/>
          <w:sz w:val="24"/>
          <w:szCs w:val="24"/>
          <w:lang w:val="en-US" w:eastAsia="ru-RU"/>
          <w14:ligatures w14:val="none"/>
        </w:rPr>
      </w:pPr>
    </w:p>
    <w:p w14:paraId="6CFEDE59" w14:textId="77777777" w:rsidR="00E7357D" w:rsidRPr="00E7357D" w:rsidRDefault="00E7357D" w:rsidP="002D3656">
      <w:pPr>
        <w:pStyle w:val="af0"/>
        <w:ind w:firstLine="709"/>
        <w:rPr>
          <w:b/>
          <w:bCs/>
          <w:lang w:val="en-US" w:eastAsia="ru-RU"/>
        </w:rPr>
      </w:pPr>
      <w:r w:rsidRPr="00E7357D">
        <w:rPr>
          <w:b/>
          <w:bCs/>
          <w:lang w:val="en-US" w:eastAsia="ru-RU"/>
        </w:rPr>
        <w:t>1. Overview</w:t>
      </w:r>
    </w:p>
    <w:p w14:paraId="08A4E383" w14:textId="77777777" w:rsidR="00E7357D" w:rsidRPr="00E7357D" w:rsidRDefault="00E7357D" w:rsidP="002D3656">
      <w:pPr>
        <w:spacing w:after="0"/>
        <w:ind w:firstLine="709"/>
        <w:jc w:val="both"/>
        <w:rPr>
          <w:rFonts w:eastAsia="Times New Roman" w:cs="Times New Roman"/>
          <w:kern w:val="0"/>
          <w:sz w:val="24"/>
          <w:szCs w:val="24"/>
          <w:lang w:val="en-US" w:eastAsia="ru-RU"/>
          <w14:ligatures w14:val="none"/>
        </w:rPr>
      </w:pPr>
      <w:r w:rsidRPr="00E7357D">
        <w:rPr>
          <w:rFonts w:eastAsia="Times New Roman" w:cs="Times New Roman"/>
          <w:kern w:val="0"/>
          <w:sz w:val="24"/>
          <w:szCs w:val="24"/>
          <w:lang w:val="en-US" w:eastAsia="ru-RU"/>
          <w14:ligatures w14:val="none"/>
        </w:rPr>
        <w:t>1.1. The Promotion is designed to support the transition to cashless fuel payments in line with the laws of the Republic of Uzbekistan, including Presidential Decree No. PF-246 dated December 10, 2025.</w:t>
      </w:r>
    </w:p>
    <w:p w14:paraId="38B8D0B6" w14:textId="77777777" w:rsidR="00E7357D" w:rsidRPr="00E7357D" w:rsidRDefault="00E7357D" w:rsidP="002D3656">
      <w:pPr>
        <w:spacing w:after="0"/>
        <w:ind w:firstLine="709"/>
        <w:jc w:val="both"/>
        <w:rPr>
          <w:rFonts w:eastAsia="Times New Roman" w:cs="Times New Roman"/>
          <w:kern w:val="0"/>
          <w:sz w:val="24"/>
          <w:szCs w:val="24"/>
          <w:lang w:val="en-US" w:eastAsia="ru-RU"/>
          <w14:ligatures w14:val="none"/>
        </w:rPr>
      </w:pPr>
      <w:r w:rsidRPr="00E7357D">
        <w:rPr>
          <w:rFonts w:eastAsia="Times New Roman" w:cs="Times New Roman"/>
          <w:kern w:val="0"/>
          <w:sz w:val="24"/>
          <w:szCs w:val="24"/>
          <w:lang w:val="en-US" w:eastAsia="ru-RU"/>
          <w14:ligatures w14:val="none"/>
        </w:rPr>
        <w:t>1.2. It gives customers a simple, ready-to-use solution for paying for fuel without cash, while encouraging broader use of bank cards.</w:t>
      </w:r>
    </w:p>
    <w:p w14:paraId="252BB1D5" w14:textId="77777777" w:rsidR="00E7357D" w:rsidRPr="00E7357D" w:rsidRDefault="00E7357D" w:rsidP="002D3656">
      <w:pPr>
        <w:spacing w:after="0"/>
        <w:ind w:firstLine="709"/>
        <w:jc w:val="both"/>
        <w:rPr>
          <w:rFonts w:eastAsia="Times New Roman" w:cs="Times New Roman"/>
          <w:kern w:val="0"/>
          <w:sz w:val="24"/>
          <w:szCs w:val="24"/>
          <w:lang w:val="en-US" w:eastAsia="ru-RU"/>
          <w14:ligatures w14:val="none"/>
        </w:rPr>
      </w:pPr>
      <w:r w:rsidRPr="00E7357D">
        <w:rPr>
          <w:rFonts w:eastAsia="Times New Roman" w:cs="Times New Roman"/>
          <w:kern w:val="0"/>
          <w:sz w:val="24"/>
          <w:szCs w:val="24"/>
          <w:lang w:val="en-US" w:eastAsia="ru-RU"/>
          <w14:ligatures w14:val="none"/>
        </w:rPr>
        <w:t>1.3. By participating, you fully and unconditionally accept these terms.</w:t>
      </w:r>
    </w:p>
    <w:p w14:paraId="1851F872" w14:textId="77777777" w:rsidR="00E7357D" w:rsidRPr="00E7357D" w:rsidRDefault="00E7357D" w:rsidP="002D3656">
      <w:pPr>
        <w:spacing w:after="0"/>
        <w:ind w:firstLine="709"/>
        <w:jc w:val="both"/>
        <w:rPr>
          <w:rFonts w:eastAsia="Times New Roman" w:cs="Times New Roman"/>
          <w:kern w:val="0"/>
          <w:sz w:val="24"/>
          <w:szCs w:val="24"/>
          <w:lang w:val="en-US" w:eastAsia="ru-RU"/>
          <w14:ligatures w14:val="none"/>
        </w:rPr>
      </w:pPr>
      <w:r w:rsidRPr="00E7357D">
        <w:rPr>
          <w:rFonts w:eastAsia="Times New Roman" w:cs="Times New Roman"/>
          <w:kern w:val="0"/>
          <w:sz w:val="24"/>
          <w:szCs w:val="24"/>
          <w:lang w:val="en-US" w:eastAsia="ru-RU"/>
          <w14:ligatures w14:val="none"/>
        </w:rPr>
        <w:t>1.4. This Promotion is not a lottery or a game of chance. It is a marketing campaign intended to encourage customer activity.</w:t>
      </w:r>
    </w:p>
    <w:p w14:paraId="1BB4EC82" w14:textId="77777777" w:rsidR="00E7357D" w:rsidRPr="00E7357D" w:rsidRDefault="00E7357D" w:rsidP="002D3656">
      <w:pPr>
        <w:spacing w:after="0"/>
        <w:ind w:firstLine="709"/>
        <w:jc w:val="both"/>
        <w:rPr>
          <w:rFonts w:eastAsia="Times New Roman" w:cs="Times New Roman"/>
          <w:kern w:val="0"/>
          <w:sz w:val="24"/>
          <w:szCs w:val="24"/>
          <w:lang w:val="en-US" w:eastAsia="ru-RU"/>
          <w14:ligatures w14:val="none"/>
        </w:rPr>
      </w:pPr>
      <w:r w:rsidRPr="00E7357D">
        <w:rPr>
          <w:rFonts w:eastAsia="Times New Roman" w:cs="Times New Roman"/>
          <w:kern w:val="0"/>
          <w:sz w:val="24"/>
          <w:szCs w:val="24"/>
          <w:lang w:val="en-US" w:eastAsia="ru-RU"/>
          <w14:ligatures w14:val="none"/>
        </w:rPr>
        <w:t>1.5. Accepting this Offer has the same legal effect as signing a written agreement.</w:t>
      </w:r>
    </w:p>
    <w:p w14:paraId="06E1E875" w14:textId="77777777" w:rsidR="00E7357D" w:rsidRDefault="00E7357D" w:rsidP="002D3656">
      <w:pPr>
        <w:spacing w:after="0"/>
        <w:ind w:firstLine="709"/>
        <w:rPr>
          <w:rFonts w:eastAsia="Times New Roman" w:cs="Times New Roman"/>
          <w:kern w:val="0"/>
          <w:sz w:val="24"/>
          <w:szCs w:val="24"/>
          <w:lang w:val="en-US" w:eastAsia="ru-RU"/>
          <w14:ligatures w14:val="none"/>
        </w:rPr>
      </w:pPr>
      <w:r w:rsidRPr="00E7357D">
        <w:rPr>
          <w:rFonts w:eastAsia="Times New Roman" w:cs="Times New Roman"/>
          <w:kern w:val="0"/>
          <w:sz w:val="24"/>
          <w:szCs w:val="24"/>
          <w:lang w:val="en-US" w:eastAsia="ru-RU"/>
          <w14:ligatures w14:val="none"/>
        </w:rPr>
        <w:t>1.6. By accepting this Offer, you confirm that:</w:t>
      </w:r>
      <w:r w:rsidRPr="00E7357D">
        <w:rPr>
          <w:rFonts w:eastAsia="Times New Roman" w:cs="Times New Roman"/>
          <w:kern w:val="0"/>
          <w:sz w:val="24"/>
          <w:szCs w:val="24"/>
          <w:lang w:val="en-US" w:eastAsia="ru-RU"/>
          <w14:ligatures w14:val="none"/>
        </w:rPr>
        <w:br/>
        <w:t>— you have read and understood these terms;</w:t>
      </w:r>
      <w:r w:rsidRPr="00E7357D">
        <w:rPr>
          <w:rFonts w:eastAsia="Times New Roman" w:cs="Times New Roman"/>
          <w:kern w:val="0"/>
          <w:sz w:val="24"/>
          <w:szCs w:val="24"/>
          <w:lang w:val="en-US" w:eastAsia="ru-RU"/>
          <w14:ligatures w14:val="none"/>
        </w:rPr>
        <w:br/>
        <w:t>— you agree to follow them;</w:t>
      </w:r>
      <w:r w:rsidRPr="00E7357D">
        <w:rPr>
          <w:rFonts w:eastAsia="Times New Roman" w:cs="Times New Roman"/>
          <w:kern w:val="0"/>
          <w:sz w:val="24"/>
          <w:szCs w:val="24"/>
          <w:lang w:val="en-US" w:eastAsia="ru-RU"/>
          <w14:ligatures w14:val="none"/>
        </w:rPr>
        <w:br/>
        <w:t>— you have the legal capacity to enter into this agreement.</w:t>
      </w:r>
    </w:p>
    <w:p w14:paraId="7F56591F" w14:textId="77777777" w:rsidR="002D3656" w:rsidRPr="00E7357D" w:rsidRDefault="002D3656" w:rsidP="002D3656">
      <w:pPr>
        <w:spacing w:after="0"/>
        <w:ind w:firstLine="709"/>
        <w:rPr>
          <w:rFonts w:eastAsia="Times New Roman" w:cs="Times New Roman"/>
          <w:kern w:val="0"/>
          <w:sz w:val="24"/>
          <w:szCs w:val="24"/>
          <w:lang w:val="en-US" w:eastAsia="ru-RU"/>
          <w14:ligatures w14:val="none"/>
        </w:rPr>
      </w:pPr>
    </w:p>
    <w:p w14:paraId="3B884F7C" w14:textId="77777777" w:rsidR="00E7357D" w:rsidRPr="00E7357D" w:rsidRDefault="00E7357D" w:rsidP="002D3656">
      <w:pPr>
        <w:pStyle w:val="af0"/>
        <w:ind w:firstLine="709"/>
        <w:rPr>
          <w:b/>
          <w:bCs/>
          <w:lang w:val="en-US" w:eastAsia="ru-RU"/>
        </w:rPr>
      </w:pPr>
      <w:r w:rsidRPr="00E7357D">
        <w:rPr>
          <w:b/>
          <w:bCs/>
          <w:lang w:val="en-US" w:eastAsia="ru-RU"/>
        </w:rPr>
        <w:t>2. Organizer</w:t>
      </w:r>
    </w:p>
    <w:p w14:paraId="6DDA1A94" w14:textId="2EA5FD9D" w:rsidR="00E7357D" w:rsidRDefault="00E7357D" w:rsidP="002D3656">
      <w:pPr>
        <w:spacing w:after="0"/>
        <w:ind w:firstLine="709"/>
        <w:rPr>
          <w:rFonts w:eastAsia="Times New Roman" w:cs="Times New Roman"/>
          <w:kern w:val="0"/>
          <w:sz w:val="24"/>
          <w:szCs w:val="24"/>
          <w:lang w:val="en-US" w:eastAsia="ru-RU"/>
          <w14:ligatures w14:val="none"/>
        </w:rPr>
      </w:pPr>
      <w:r w:rsidRPr="00E7357D">
        <w:rPr>
          <w:rFonts w:eastAsia="Times New Roman" w:cs="Times New Roman"/>
          <w:kern w:val="0"/>
          <w:sz w:val="24"/>
          <w:szCs w:val="24"/>
          <w:lang w:val="en-US" w:eastAsia="ru-RU"/>
          <w14:ligatures w14:val="none"/>
        </w:rPr>
        <w:t>The Promotion is organized by:</w:t>
      </w:r>
      <w:r w:rsidRPr="00E7357D">
        <w:rPr>
          <w:rFonts w:eastAsia="Times New Roman" w:cs="Times New Roman"/>
          <w:kern w:val="0"/>
          <w:sz w:val="24"/>
          <w:szCs w:val="24"/>
          <w:lang w:val="en-US" w:eastAsia="ru-RU"/>
          <w14:ligatures w14:val="none"/>
        </w:rPr>
        <w:t xml:space="preserve"> </w:t>
      </w:r>
      <w:r w:rsidRPr="00E7357D">
        <w:rPr>
          <w:rFonts w:eastAsia="Times New Roman" w:cs="Times New Roman"/>
          <w:b/>
          <w:bCs/>
          <w:kern w:val="0"/>
          <w:sz w:val="24"/>
          <w:szCs w:val="24"/>
          <w:lang w:val="en-US" w:eastAsia="ru-RU"/>
          <w14:ligatures w14:val="none"/>
        </w:rPr>
        <w:t xml:space="preserve">Garant bank </w:t>
      </w:r>
      <w:r w:rsidRPr="00E7357D">
        <w:rPr>
          <w:rFonts w:eastAsia="Times New Roman" w:cs="Times New Roman"/>
          <w:b/>
          <w:bCs/>
          <w:kern w:val="0"/>
          <w:sz w:val="24"/>
          <w:szCs w:val="24"/>
          <w:lang w:val="en-US" w:eastAsia="ru-RU"/>
          <w14:ligatures w14:val="none"/>
        </w:rPr>
        <w:t xml:space="preserve">JSC </w:t>
      </w:r>
      <w:r w:rsidRPr="00E7357D">
        <w:rPr>
          <w:rFonts w:eastAsia="Times New Roman" w:cs="Times New Roman"/>
          <w:kern w:val="0"/>
          <w:sz w:val="24"/>
          <w:szCs w:val="24"/>
          <w:lang w:val="en-US" w:eastAsia="ru-RU"/>
          <w14:ligatures w14:val="none"/>
        </w:rPr>
        <w:br/>
        <w:t>Licensed by the Central Bank of the Republic of Uzbekistan (License No. 42, dated July 16, 2022)</w:t>
      </w:r>
      <w:r w:rsidR="002D3656">
        <w:rPr>
          <w:rFonts w:eastAsia="Times New Roman" w:cs="Times New Roman"/>
          <w:kern w:val="0"/>
          <w:sz w:val="24"/>
          <w:szCs w:val="24"/>
          <w:lang w:val="en-US" w:eastAsia="ru-RU"/>
          <w14:ligatures w14:val="none"/>
        </w:rPr>
        <w:t>.</w:t>
      </w:r>
    </w:p>
    <w:p w14:paraId="49694E96" w14:textId="77777777" w:rsidR="002D3656" w:rsidRPr="00E7357D" w:rsidRDefault="002D3656" w:rsidP="002D3656">
      <w:pPr>
        <w:spacing w:after="0"/>
        <w:ind w:firstLine="709"/>
        <w:rPr>
          <w:rFonts w:eastAsia="Times New Roman" w:cs="Times New Roman"/>
          <w:kern w:val="0"/>
          <w:sz w:val="24"/>
          <w:szCs w:val="24"/>
          <w:lang w:val="en-US" w:eastAsia="ru-RU"/>
          <w14:ligatures w14:val="none"/>
        </w:rPr>
      </w:pPr>
    </w:p>
    <w:p w14:paraId="59AD8F22" w14:textId="77777777" w:rsidR="00E7357D" w:rsidRPr="00E7357D" w:rsidRDefault="00E7357D" w:rsidP="002D3656">
      <w:pPr>
        <w:pStyle w:val="af0"/>
        <w:ind w:firstLine="709"/>
        <w:rPr>
          <w:b/>
          <w:bCs/>
          <w:lang w:val="en-US" w:eastAsia="ru-RU"/>
        </w:rPr>
      </w:pPr>
      <w:r w:rsidRPr="00E7357D">
        <w:rPr>
          <w:b/>
          <w:bCs/>
          <w:lang w:val="en-US" w:eastAsia="ru-RU"/>
        </w:rPr>
        <w:t>3. Promotion Period</w:t>
      </w:r>
    </w:p>
    <w:p w14:paraId="7259003D" w14:textId="77777777" w:rsidR="00E7357D" w:rsidRPr="00E7357D" w:rsidRDefault="00E7357D" w:rsidP="002D3656">
      <w:pPr>
        <w:spacing w:after="0"/>
        <w:ind w:firstLine="709"/>
        <w:rPr>
          <w:rFonts w:eastAsia="Times New Roman" w:cs="Times New Roman"/>
          <w:kern w:val="0"/>
          <w:sz w:val="24"/>
          <w:szCs w:val="24"/>
          <w:lang w:val="en-US" w:eastAsia="ru-RU"/>
          <w14:ligatures w14:val="none"/>
        </w:rPr>
      </w:pPr>
      <w:r w:rsidRPr="00E7357D">
        <w:rPr>
          <w:rFonts w:eastAsia="Times New Roman" w:cs="Times New Roman"/>
          <w:kern w:val="0"/>
          <w:sz w:val="24"/>
          <w:szCs w:val="24"/>
          <w:lang w:val="en-US" w:eastAsia="ru-RU"/>
          <w14:ligatures w14:val="none"/>
        </w:rPr>
        <w:t xml:space="preserve">3.1. The Promotion runs from </w:t>
      </w:r>
      <w:r w:rsidRPr="00E7357D">
        <w:rPr>
          <w:rFonts w:eastAsia="Times New Roman" w:cs="Times New Roman"/>
          <w:b/>
          <w:bCs/>
          <w:kern w:val="0"/>
          <w:sz w:val="24"/>
          <w:szCs w:val="24"/>
          <w:lang w:val="en-US" w:eastAsia="ru-RU"/>
          <w14:ligatures w14:val="none"/>
        </w:rPr>
        <w:t>April 1 through April 30, 2026 (inclusive)</w:t>
      </w:r>
      <w:r w:rsidRPr="00E7357D">
        <w:rPr>
          <w:rFonts w:eastAsia="Times New Roman" w:cs="Times New Roman"/>
          <w:kern w:val="0"/>
          <w:sz w:val="24"/>
          <w:szCs w:val="24"/>
          <w:lang w:val="en-US" w:eastAsia="ru-RU"/>
          <w14:ligatures w14:val="none"/>
        </w:rPr>
        <w:t>.</w:t>
      </w:r>
    </w:p>
    <w:p w14:paraId="5B6B0BC9" w14:textId="77777777" w:rsidR="00E7357D" w:rsidRDefault="00E7357D" w:rsidP="002D3656">
      <w:pPr>
        <w:spacing w:after="0"/>
        <w:ind w:firstLine="709"/>
        <w:rPr>
          <w:rFonts w:eastAsia="Times New Roman" w:cs="Times New Roman"/>
          <w:kern w:val="0"/>
          <w:sz w:val="24"/>
          <w:szCs w:val="24"/>
          <w:lang w:val="en-US" w:eastAsia="ru-RU"/>
          <w14:ligatures w14:val="none"/>
        </w:rPr>
      </w:pPr>
      <w:r w:rsidRPr="00E7357D">
        <w:rPr>
          <w:rFonts w:eastAsia="Times New Roman" w:cs="Times New Roman"/>
          <w:kern w:val="0"/>
          <w:sz w:val="24"/>
          <w:szCs w:val="24"/>
          <w:lang w:val="en-US" w:eastAsia="ru-RU"/>
          <w14:ligatures w14:val="none"/>
        </w:rPr>
        <w:t>3.2. The Bank may extend or end the Promotion early at its discretion. Any updates will be posted on the Bank’s official website.</w:t>
      </w:r>
    </w:p>
    <w:p w14:paraId="49AB508D" w14:textId="77777777" w:rsidR="002D3656" w:rsidRDefault="002D3656" w:rsidP="002D3656">
      <w:pPr>
        <w:spacing w:after="0"/>
        <w:ind w:firstLine="709"/>
        <w:rPr>
          <w:rFonts w:eastAsia="Times New Roman" w:cs="Times New Roman"/>
          <w:kern w:val="0"/>
          <w:sz w:val="24"/>
          <w:szCs w:val="24"/>
          <w:lang w:val="en-US" w:eastAsia="ru-RU"/>
          <w14:ligatures w14:val="none"/>
        </w:rPr>
      </w:pPr>
    </w:p>
    <w:p w14:paraId="5EFAF6A0" w14:textId="77777777" w:rsidR="00E7357D" w:rsidRPr="00E7357D" w:rsidRDefault="00E7357D" w:rsidP="002D3656">
      <w:pPr>
        <w:pStyle w:val="af0"/>
        <w:ind w:firstLine="709"/>
        <w:rPr>
          <w:b/>
          <w:bCs/>
          <w:lang w:val="en-US" w:eastAsia="ru-RU"/>
        </w:rPr>
      </w:pPr>
      <w:r w:rsidRPr="00E7357D">
        <w:rPr>
          <w:b/>
          <w:bCs/>
          <w:lang w:val="en-US" w:eastAsia="ru-RU"/>
        </w:rPr>
        <w:t>4. Eligibility</w:t>
      </w:r>
    </w:p>
    <w:p w14:paraId="5CD440CC" w14:textId="77777777" w:rsidR="00E7357D" w:rsidRPr="00E7357D" w:rsidRDefault="00E7357D" w:rsidP="002D3656">
      <w:pPr>
        <w:spacing w:after="0"/>
        <w:ind w:firstLine="709"/>
        <w:rPr>
          <w:rFonts w:eastAsia="Times New Roman" w:cs="Times New Roman"/>
          <w:kern w:val="0"/>
          <w:sz w:val="24"/>
          <w:szCs w:val="24"/>
          <w:lang w:val="en-US" w:eastAsia="ru-RU"/>
          <w14:ligatures w14:val="none"/>
        </w:rPr>
      </w:pPr>
      <w:r w:rsidRPr="00E7357D">
        <w:rPr>
          <w:rFonts w:eastAsia="Times New Roman" w:cs="Times New Roman"/>
          <w:kern w:val="0"/>
          <w:sz w:val="24"/>
          <w:szCs w:val="24"/>
          <w:lang w:val="en-US" w:eastAsia="ru-RU"/>
          <w14:ligatures w14:val="none"/>
        </w:rPr>
        <w:t>4.1. The Promotion is open to individuals who:</w:t>
      </w:r>
      <w:r w:rsidRPr="00E7357D">
        <w:rPr>
          <w:rFonts w:eastAsia="Times New Roman" w:cs="Times New Roman"/>
          <w:kern w:val="0"/>
          <w:sz w:val="24"/>
          <w:szCs w:val="24"/>
          <w:lang w:val="en-US" w:eastAsia="ru-RU"/>
          <w14:ligatures w14:val="none"/>
        </w:rPr>
        <w:br/>
        <w:t>— are at least 18 years old;</w:t>
      </w:r>
      <w:r w:rsidRPr="00E7357D">
        <w:rPr>
          <w:rFonts w:eastAsia="Times New Roman" w:cs="Times New Roman"/>
          <w:kern w:val="0"/>
          <w:sz w:val="24"/>
          <w:szCs w:val="24"/>
          <w:lang w:val="en-US" w:eastAsia="ru-RU"/>
          <w14:ligatures w14:val="none"/>
        </w:rPr>
        <w:br/>
        <w:t>— are residents of the Republic of Uzbekistan;</w:t>
      </w:r>
      <w:r w:rsidRPr="00E7357D">
        <w:rPr>
          <w:rFonts w:eastAsia="Times New Roman" w:cs="Times New Roman"/>
          <w:kern w:val="0"/>
          <w:sz w:val="24"/>
          <w:szCs w:val="24"/>
          <w:lang w:val="en-US" w:eastAsia="ru-RU"/>
          <w14:ligatures w14:val="none"/>
        </w:rPr>
        <w:br/>
        <w:t>— have full legal capacity.</w:t>
      </w:r>
    </w:p>
    <w:p w14:paraId="55C6C8CB" w14:textId="77777777" w:rsidR="00E7357D" w:rsidRDefault="00E7357D" w:rsidP="002D3656">
      <w:pPr>
        <w:spacing w:after="0"/>
        <w:ind w:firstLine="709"/>
        <w:rPr>
          <w:rFonts w:eastAsia="Times New Roman" w:cs="Times New Roman"/>
          <w:kern w:val="0"/>
          <w:sz w:val="24"/>
          <w:szCs w:val="24"/>
          <w:lang w:val="en-US" w:eastAsia="ru-RU"/>
          <w14:ligatures w14:val="none"/>
        </w:rPr>
      </w:pPr>
      <w:r w:rsidRPr="00E7357D">
        <w:rPr>
          <w:rFonts w:eastAsia="Times New Roman" w:cs="Times New Roman"/>
          <w:kern w:val="0"/>
          <w:sz w:val="24"/>
          <w:szCs w:val="24"/>
          <w:lang w:val="en-US" w:eastAsia="ru-RU"/>
          <w14:ligatures w14:val="none"/>
        </w:rPr>
        <w:t>4.2. To participate, you must:</w:t>
      </w:r>
      <w:r w:rsidRPr="00E7357D">
        <w:rPr>
          <w:rFonts w:eastAsia="Times New Roman" w:cs="Times New Roman"/>
          <w:kern w:val="0"/>
          <w:sz w:val="24"/>
          <w:szCs w:val="24"/>
          <w:lang w:val="en-US" w:eastAsia="ru-RU"/>
          <w14:ligatures w14:val="none"/>
        </w:rPr>
        <w:br/>
        <w:t>— purchase a Bank card at participating gas stations;</w:t>
      </w:r>
      <w:r w:rsidRPr="00E7357D">
        <w:rPr>
          <w:rFonts w:eastAsia="Times New Roman" w:cs="Times New Roman"/>
          <w:kern w:val="0"/>
          <w:sz w:val="24"/>
          <w:szCs w:val="24"/>
          <w:lang w:val="en-US" w:eastAsia="ru-RU"/>
          <w14:ligatures w14:val="none"/>
        </w:rPr>
        <w:br/>
        <w:t>— activate the card in the Bank’s mobile app.</w:t>
      </w:r>
    </w:p>
    <w:p w14:paraId="0329F744" w14:textId="77777777" w:rsidR="002D3656" w:rsidRPr="00E7357D" w:rsidRDefault="002D3656" w:rsidP="002D3656">
      <w:pPr>
        <w:spacing w:after="0"/>
        <w:ind w:firstLine="709"/>
        <w:rPr>
          <w:rFonts w:eastAsia="Times New Roman" w:cs="Times New Roman"/>
          <w:kern w:val="0"/>
          <w:sz w:val="24"/>
          <w:szCs w:val="24"/>
          <w:lang w:val="en-US" w:eastAsia="ru-RU"/>
          <w14:ligatures w14:val="none"/>
        </w:rPr>
      </w:pPr>
    </w:p>
    <w:p w14:paraId="3CF63593" w14:textId="77777777" w:rsidR="00E7357D" w:rsidRPr="00E7357D" w:rsidRDefault="00E7357D" w:rsidP="002D3656">
      <w:pPr>
        <w:pStyle w:val="af0"/>
        <w:ind w:firstLine="709"/>
        <w:rPr>
          <w:b/>
          <w:bCs/>
          <w:lang w:val="en-US" w:eastAsia="ru-RU"/>
        </w:rPr>
      </w:pPr>
      <w:r w:rsidRPr="00E7357D">
        <w:rPr>
          <w:b/>
          <w:bCs/>
          <w:lang w:val="en-US" w:eastAsia="ru-RU"/>
        </w:rPr>
        <w:t>5. Promotion Details</w:t>
      </w:r>
    </w:p>
    <w:p w14:paraId="4C720D69" w14:textId="5E01A9DA" w:rsidR="00E7357D" w:rsidRPr="00E7357D" w:rsidRDefault="00E7357D" w:rsidP="002D3656">
      <w:pPr>
        <w:spacing w:after="0"/>
        <w:ind w:firstLine="709"/>
        <w:rPr>
          <w:rFonts w:eastAsia="Times New Roman" w:cs="Times New Roman"/>
          <w:kern w:val="0"/>
          <w:sz w:val="24"/>
          <w:szCs w:val="24"/>
          <w:lang w:val="en-US" w:eastAsia="ru-RU"/>
          <w14:ligatures w14:val="none"/>
        </w:rPr>
      </w:pPr>
      <w:r w:rsidRPr="00E7357D">
        <w:rPr>
          <w:rFonts w:eastAsia="Times New Roman" w:cs="Times New Roman"/>
          <w:kern w:val="0"/>
          <w:sz w:val="24"/>
          <w:szCs w:val="24"/>
          <w:lang w:val="en-US" w:eastAsia="ru-RU"/>
          <w14:ligatures w14:val="none"/>
        </w:rPr>
        <w:t xml:space="preserve">5.1. As part of the Promotion, you will receive a </w:t>
      </w:r>
      <w:r w:rsidRPr="00E7357D">
        <w:rPr>
          <w:rFonts w:eastAsia="Times New Roman" w:cs="Times New Roman"/>
          <w:b/>
          <w:bCs/>
          <w:kern w:val="0"/>
          <w:sz w:val="24"/>
          <w:szCs w:val="24"/>
          <w:lang w:val="en-US" w:eastAsia="ru-RU"/>
          <w14:ligatures w14:val="none"/>
        </w:rPr>
        <w:t>UZCARD Moment debit card</w:t>
      </w:r>
      <w:r w:rsidRPr="00E7357D">
        <w:rPr>
          <w:rFonts w:eastAsia="Times New Roman" w:cs="Times New Roman"/>
          <w:kern w:val="0"/>
          <w:sz w:val="24"/>
          <w:szCs w:val="24"/>
          <w:lang w:val="en-US" w:eastAsia="ru-RU"/>
          <w14:ligatures w14:val="none"/>
        </w:rPr>
        <w:t xml:space="preserve"> with a balance of:</w:t>
      </w:r>
      <w:r w:rsidR="002D3656" w:rsidRPr="002D3656">
        <w:rPr>
          <w:rFonts w:eastAsia="Times New Roman" w:cs="Times New Roman"/>
          <w:kern w:val="0"/>
          <w:sz w:val="24"/>
          <w:szCs w:val="24"/>
          <w:lang w:val="en-US" w:eastAsia="ru-RU"/>
          <w14:ligatures w14:val="none"/>
        </w:rPr>
        <w:t xml:space="preserve"> </w:t>
      </w:r>
      <w:r w:rsidRPr="00E7357D">
        <w:rPr>
          <w:rFonts w:eastAsia="Times New Roman" w:cs="Times New Roman"/>
          <w:b/>
          <w:bCs/>
          <w:kern w:val="0"/>
          <w:sz w:val="24"/>
          <w:szCs w:val="24"/>
          <w:lang w:val="en-US" w:eastAsia="ru-RU"/>
          <w14:ligatures w14:val="none"/>
        </w:rPr>
        <w:t>UZS 150,000</w:t>
      </w:r>
      <w:r w:rsidRPr="00E7357D">
        <w:rPr>
          <w:rFonts w:eastAsia="Times New Roman" w:cs="Times New Roman"/>
          <w:kern w:val="0"/>
          <w:sz w:val="24"/>
          <w:szCs w:val="24"/>
          <w:lang w:val="en-US" w:eastAsia="ru-RU"/>
          <w14:ligatures w14:val="none"/>
        </w:rPr>
        <w:t>.</w:t>
      </w:r>
    </w:p>
    <w:p w14:paraId="4E795A26" w14:textId="77777777" w:rsidR="00E7357D" w:rsidRPr="00E7357D" w:rsidRDefault="00E7357D" w:rsidP="002D3656">
      <w:pPr>
        <w:spacing w:after="0"/>
        <w:ind w:firstLine="709"/>
        <w:rPr>
          <w:rFonts w:eastAsia="Times New Roman" w:cs="Times New Roman"/>
          <w:kern w:val="0"/>
          <w:sz w:val="24"/>
          <w:szCs w:val="24"/>
          <w:lang w:val="en-US" w:eastAsia="ru-RU"/>
          <w14:ligatures w14:val="none"/>
        </w:rPr>
      </w:pPr>
      <w:r w:rsidRPr="00E7357D">
        <w:rPr>
          <w:rFonts w:eastAsia="Times New Roman" w:cs="Times New Roman"/>
          <w:kern w:val="0"/>
          <w:sz w:val="24"/>
          <w:szCs w:val="24"/>
          <w:lang w:val="en-US" w:eastAsia="ru-RU"/>
          <w14:ligatures w14:val="none"/>
        </w:rPr>
        <w:t>5.2. These funds can be used to pay for fuel and for other transactions supported by the card.</w:t>
      </w:r>
    </w:p>
    <w:p w14:paraId="208437F4" w14:textId="77777777" w:rsidR="00E7357D" w:rsidRPr="00E7357D" w:rsidRDefault="00E7357D" w:rsidP="002D3656">
      <w:pPr>
        <w:spacing w:after="0"/>
        <w:ind w:firstLine="709"/>
        <w:rPr>
          <w:rFonts w:eastAsia="Times New Roman" w:cs="Times New Roman"/>
          <w:kern w:val="0"/>
          <w:sz w:val="24"/>
          <w:szCs w:val="24"/>
          <w:lang w:val="en-US" w:eastAsia="ru-RU"/>
          <w14:ligatures w14:val="none"/>
        </w:rPr>
      </w:pPr>
      <w:r w:rsidRPr="00E7357D">
        <w:rPr>
          <w:rFonts w:eastAsia="Times New Roman" w:cs="Times New Roman"/>
          <w:kern w:val="0"/>
          <w:sz w:val="24"/>
          <w:szCs w:val="24"/>
          <w:lang w:val="en-US" w:eastAsia="ru-RU"/>
          <w14:ligatures w14:val="none"/>
        </w:rPr>
        <w:lastRenderedPageBreak/>
        <w:t>5.3. Card terms:</w:t>
      </w:r>
      <w:r w:rsidRPr="00E7357D">
        <w:rPr>
          <w:rFonts w:eastAsia="Times New Roman" w:cs="Times New Roman"/>
          <w:kern w:val="0"/>
          <w:sz w:val="24"/>
          <w:szCs w:val="24"/>
          <w:lang w:val="en-US" w:eastAsia="ru-RU"/>
          <w14:ligatures w14:val="none"/>
        </w:rPr>
        <w:br/>
        <w:t xml:space="preserve">— the card is issued </w:t>
      </w:r>
      <w:r w:rsidRPr="00E7357D">
        <w:rPr>
          <w:rFonts w:eastAsia="Times New Roman" w:cs="Times New Roman"/>
          <w:b/>
          <w:bCs/>
          <w:kern w:val="0"/>
          <w:sz w:val="24"/>
          <w:szCs w:val="24"/>
          <w:lang w:val="en-US" w:eastAsia="ru-RU"/>
          <w14:ligatures w14:val="none"/>
        </w:rPr>
        <w:t>free of charge</w:t>
      </w:r>
      <w:r w:rsidRPr="00E7357D">
        <w:rPr>
          <w:rFonts w:eastAsia="Times New Roman" w:cs="Times New Roman"/>
          <w:kern w:val="0"/>
          <w:sz w:val="24"/>
          <w:szCs w:val="24"/>
          <w:lang w:val="en-US" w:eastAsia="ru-RU"/>
          <w14:ligatures w14:val="none"/>
        </w:rPr>
        <w:t>;</w:t>
      </w:r>
      <w:r w:rsidRPr="00E7357D">
        <w:rPr>
          <w:rFonts w:eastAsia="Times New Roman" w:cs="Times New Roman"/>
          <w:kern w:val="0"/>
          <w:sz w:val="24"/>
          <w:szCs w:val="24"/>
          <w:lang w:val="en-US" w:eastAsia="ru-RU"/>
          <w14:ligatures w14:val="none"/>
        </w:rPr>
        <w:br/>
        <w:t xml:space="preserve">— top-ups are </w:t>
      </w:r>
      <w:r w:rsidRPr="00E7357D">
        <w:rPr>
          <w:rFonts w:eastAsia="Times New Roman" w:cs="Times New Roman"/>
          <w:b/>
          <w:bCs/>
          <w:kern w:val="0"/>
          <w:sz w:val="24"/>
          <w:szCs w:val="24"/>
          <w:lang w:val="en-US" w:eastAsia="ru-RU"/>
          <w14:ligatures w14:val="none"/>
        </w:rPr>
        <w:t>fee-free</w:t>
      </w:r>
      <w:r w:rsidRPr="00E7357D">
        <w:rPr>
          <w:rFonts w:eastAsia="Times New Roman" w:cs="Times New Roman"/>
          <w:kern w:val="0"/>
          <w:sz w:val="24"/>
          <w:szCs w:val="24"/>
          <w:lang w:val="en-US" w:eastAsia="ru-RU"/>
          <w14:ligatures w14:val="none"/>
        </w:rPr>
        <w:t>;</w:t>
      </w:r>
      <w:r w:rsidRPr="00E7357D">
        <w:rPr>
          <w:rFonts w:eastAsia="Times New Roman" w:cs="Times New Roman"/>
          <w:kern w:val="0"/>
          <w:sz w:val="24"/>
          <w:szCs w:val="24"/>
          <w:lang w:val="en-US" w:eastAsia="ru-RU"/>
          <w14:ligatures w14:val="none"/>
        </w:rPr>
        <w:br/>
        <w:t>— once the promotional balance is used, the card continues to work like a regular debit card.</w:t>
      </w:r>
    </w:p>
    <w:p w14:paraId="0B633E72" w14:textId="77777777" w:rsidR="00E7357D" w:rsidRPr="00E7357D" w:rsidRDefault="00E7357D" w:rsidP="002D3656">
      <w:pPr>
        <w:spacing w:after="0"/>
        <w:ind w:firstLine="709"/>
        <w:rPr>
          <w:rFonts w:eastAsia="Times New Roman" w:cs="Times New Roman"/>
          <w:kern w:val="0"/>
          <w:sz w:val="24"/>
          <w:szCs w:val="24"/>
          <w:lang w:val="en-US" w:eastAsia="ru-RU"/>
          <w14:ligatures w14:val="none"/>
        </w:rPr>
      </w:pPr>
      <w:r w:rsidRPr="00E7357D">
        <w:rPr>
          <w:rFonts w:eastAsia="Times New Roman" w:cs="Times New Roman"/>
          <w:kern w:val="0"/>
          <w:sz w:val="24"/>
          <w:szCs w:val="24"/>
          <w:lang w:val="en-US" w:eastAsia="ru-RU"/>
          <w14:ligatures w14:val="none"/>
        </w:rPr>
        <w:t>5.4. A list of participating gas stations is available on the Bank’s website.</w:t>
      </w:r>
    </w:p>
    <w:p w14:paraId="795F54BB" w14:textId="77777777" w:rsidR="00E7357D" w:rsidRDefault="00E7357D" w:rsidP="002D3656">
      <w:pPr>
        <w:spacing w:after="0"/>
        <w:ind w:firstLine="709"/>
        <w:rPr>
          <w:rFonts w:eastAsia="Times New Roman" w:cs="Times New Roman"/>
          <w:kern w:val="0"/>
          <w:sz w:val="24"/>
          <w:szCs w:val="24"/>
          <w:lang w:eastAsia="ru-RU"/>
          <w14:ligatures w14:val="none"/>
        </w:rPr>
      </w:pPr>
      <w:r w:rsidRPr="00E7357D">
        <w:rPr>
          <w:rFonts w:eastAsia="Times New Roman" w:cs="Times New Roman"/>
          <w:kern w:val="0"/>
          <w:sz w:val="24"/>
          <w:szCs w:val="24"/>
          <w:lang w:val="en-US" w:eastAsia="ru-RU"/>
          <w14:ligatures w14:val="none"/>
        </w:rPr>
        <w:t xml:space="preserve">5.5. Only </w:t>
      </w:r>
      <w:r w:rsidRPr="00E7357D">
        <w:rPr>
          <w:rFonts w:eastAsia="Times New Roman" w:cs="Times New Roman"/>
          <w:b/>
          <w:bCs/>
          <w:kern w:val="0"/>
          <w:sz w:val="24"/>
          <w:szCs w:val="24"/>
          <w:lang w:val="en-US" w:eastAsia="ru-RU"/>
          <w14:ligatures w14:val="none"/>
        </w:rPr>
        <w:t>UZCARD Moment</w:t>
      </w:r>
      <w:r w:rsidRPr="00E7357D">
        <w:rPr>
          <w:rFonts w:eastAsia="Times New Roman" w:cs="Times New Roman"/>
          <w:kern w:val="0"/>
          <w:sz w:val="24"/>
          <w:szCs w:val="24"/>
          <w:lang w:val="en-US" w:eastAsia="ru-RU"/>
          <w14:ligatures w14:val="none"/>
        </w:rPr>
        <w:t xml:space="preserve"> cards are eligible for this Promotion.</w:t>
      </w:r>
    </w:p>
    <w:p w14:paraId="68DBB98B" w14:textId="77777777" w:rsidR="002D3656" w:rsidRPr="00E7357D" w:rsidRDefault="002D3656" w:rsidP="002D3656">
      <w:pPr>
        <w:spacing w:after="0"/>
        <w:ind w:firstLine="709"/>
        <w:rPr>
          <w:rFonts w:eastAsia="Times New Roman" w:cs="Times New Roman"/>
          <w:kern w:val="0"/>
          <w:sz w:val="24"/>
          <w:szCs w:val="24"/>
          <w:lang w:eastAsia="ru-RU"/>
          <w14:ligatures w14:val="none"/>
        </w:rPr>
      </w:pPr>
    </w:p>
    <w:p w14:paraId="6878155C" w14:textId="77777777" w:rsidR="00E7357D" w:rsidRPr="00E7357D" w:rsidRDefault="00E7357D" w:rsidP="002D3656">
      <w:pPr>
        <w:pStyle w:val="af0"/>
        <w:ind w:firstLine="709"/>
        <w:rPr>
          <w:b/>
          <w:bCs/>
          <w:lang w:val="en-US" w:eastAsia="ru-RU"/>
        </w:rPr>
      </w:pPr>
      <w:r w:rsidRPr="00E7357D">
        <w:rPr>
          <w:b/>
          <w:bCs/>
          <w:lang w:val="en-US" w:eastAsia="ru-RU"/>
        </w:rPr>
        <w:t>6. How the Balance is Credited</w:t>
      </w:r>
    </w:p>
    <w:p w14:paraId="61D855DE" w14:textId="77777777" w:rsidR="00E7357D" w:rsidRPr="00E7357D" w:rsidRDefault="00E7357D" w:rsidP="002D3656">
      <w:pPr>
        <w:spacing w:after="0"/>
        <w:ind w:firstLine="709"/>
        <w:jc w:val="both"/>
        <w:rPr>
          <w:rFonts w:eastAsia="Times New Roman" w:cs="Times New Roman"/>
          <w:kern w:val="0"/>
          <w:sz w:val="24"/>
          <w:szCs w:val="24"/>
          <w:lang w:val="en-US" w:eastAsia="ru-RU"/>
          <w14:ligatures w14:val="none"/>
        </w:rPr>
      </w:pPr>
      <w:r w:rsidRPr="00E7357D">
        <w:rPr>
          <w:rFonts w:eastAsia="Times New Roman" w:cs="Times New Roman"/>
          <w:kern w:val="0"/>
          <w:sz w:val="24"/>
          <w:szCs w:val="24"/>
          <w:lang w:val="en-US" w:eastAsia="ru-RU"/>
          <w14:ligatures w14:val="none"/>
        </w:rPr>
        <w:t xml:space="preserve">6.1. The </w:t>
      </w:r>
      <w:r w:rsidRPr="00E7357D">
        <w:rPr>
          <w:rFonts w:eastAsia="Times New Roman" w:cs="Times New Roman"/>
          <w:b/>
          <w:bCs/>
          <w:kern w:val="0"/>
          <w:sz w:val="24"/>
          <w:szCs w:val="24"/>
          <w:lang w:val="en-US" w:eastAsia="ru-RU"/>
          <w14:ligatures w14:val="none"/>
        </w:rPr>
        <w:t>UZS 150,000</w:t>
      </w:r>
      <w:r w:rsidRPr="00E7357D">
        <w:rPr>
          <w:rFonts w:eastAsia="Times New Roman" w:cs="Times New Roman"/>
          <w:kern w:val="0"/>
          <w:sz w:val="24"/>
          <w:szCs w:val="24"/>
          <w:lang w:val="en-US" w:eastAsia="ru-RU"/>
          <w14:ligatures w14:val="none"/>
        </w:rPr>
        <w:t xml:space="preserve"> is credited after you activate the card in the mobile app.</w:t>
      </w:r>
    </w:p>
    <w:p w14:paraId="4363119F" w14:textId="77777777" w:rsidR="00E7357D" w:rsidRPr="00E7357D" w:rsidRDefault="00E7357D" w:rsidP="002D3656">
      <w:pPr>
        <w:spacing w:after="0"/>
        <w:ind w:firstLine="709"/>
        <w:jc w:val="both"/>
        <w:rPr>
          <w:rFonts w:eastAsia="Times New Roman" w:cs="Times New Roman"/>
          <w:kern w:val="0"/>
          <w:sz w:val="24"/>
          <w:szCs w:val="24"/>
          <w:lang w:val="en-US" w:eastAsia="ru-RU"/>
          <w14:ligatures w14:val="none"/>
        </w:rPr>
      </w:pPr>
      <w:r w:rsidRPr="00E7357D">
        <w:rPr>
          <w:rFonts w:eastAsia="Times New Roman" w:cs="Times New Roman"/>
          <w:kern w:val="0"/>
          <w:sz w:val="24"/>
          <w:szCs w:val="24"/>
          <w:lang w:val="en-US" w:eastAsia="ru-RU"/>
          <w14:ligatures w14:val="none"/>
        </w:rPr>
        <w:t>6.2. Timing depends on the Bank’s processing procedures.</w:t>
      </w:r>
    </w:p>
    <w:p w14:paraId="4AA7D0C9" w14:textId="77777777" w:rsidR="00E7357D" w:rsidRDefault="00E7357D" w:rsidP="002D3656">
      <w:pPr>
        <w:spacing w:after="0"/>
        <w:ind w:firstLine="709"/>
        <w:jc w:val="both"/>
        <w:rPr>
          <w:rFonts w:eastAsia="Times New Roman" w:cs="Times New Roman"/>
          <w:kern w:val="0"/>
          <w:sz w:val="24"/>
          <w:szCs w:val="24"/>
          <w:lang w:val="en-US" w:eastAsia="ru-RU"/>
          <w14:ligatures w14:val="none"/>
        </w:rPr>
      </w:pPr>
      <w:r w:rsidRPr="00E7357D">
        <w:rPr>
          <w:rFonts w:eastAsia="Times New Roman" w:cs="Times New Roman"/>
          <w:kern w:val="0"/>
          <w:sz w:val="24"/>
          <w:szCs w:val="24"/>
          <w:lang w:val="en-US" w:eastAsia="ru-RU"/>
          <w14:ligatures w14:val="none"/>
        </w:rPr>
        <w:t>6.3. The Bank may decline to credit the balance in cases of suspected abuse, fraud, or violation of these terms.</w:t>
      </w:r>
    </w:p>
    <w:p w14:paraId="166E11B4" w14:textId="77777777" w:rsidR="002D3656" w:rsidRPr="00E7357D" w:rsidRDefault="002D3656" w:rsidP="002D3656">
      <w:pPr>
        <w:spacing w:after="0"/>
        <w:ind w:firstLine="709"/>
        <w:rPr>
          <w:rFonts w:eastAsia="Times New Roman" w:cs="Times New Roman"/>
          <w:kern w:val="0"/>
          <w:sz w:val="24"/>
          <w:szCs w:val="24"/>
          <w:lang w:eastAsia="ru-RU"/>
          <w14:ligatures w14:val="none"/>
        </w:rPr>
      </w:pPr>
    </w:p>
    <w:p w14:paraId="0CE0B21D" w14:textId="77777777" w:rsidR="00E7357D" w:rsidRPr="00E7357D" w:rsidRDefault="00E7357D" w:rsidP="002D3656">
      <w:pPr>
        <w:pStyle w:val="af0"/>
        <w:ind w:firstLine="709"/>
        <w:rPr>
          <w:b/>
          <w:bCs/>
          <w:lang w:val="en-US" w:eastAsia="ru-RU"/>
        </w:rPr>
      </w:pPr>
      <w:r w:rsidRPr="00E7357D">
        <w:rPr>
          <w:b/>
          <w:bCs/>
          <w:lang w:val="en-US" w:eastAsia="ru-RU"/>
        </w:rPr>
        <w:t>7. Restrictions</w:t>
      </w:r>
    </w:p>
    <w:p w14:paraId="231DC60C" w14:textId="77777777" w:rsidR="00E7357D" w:rsidRPr="00E7357D" w:rsidRDefault="00E7357D" w:rsidP="002D3656">
      <w:pPr>
        <w:spacing w:after="0"/>
        <w:ind w:firstLine="709"/>
        <w:rPr>
          <w:rFonts w:eastAsia="Times New Roman" w:cs="Times New Roman"/>
          <w:kern w:val="0"/>
          <w:sz w:val="24"/>
          <w:szCs w:val="24"/>
          <w:lang w:val="en-US" w:eastAsia="ru-RU"/>
          <w14:ligatures w14:val="none"/>
        </w:rPr>
      </w:pPr>
      <w:r w:rsidRPr="00E7357D">
        <w:rPr>
          <w:rFonts w:eastAsia="Times New Roman" w:cs="Times New Roman"/>
          <w:kern w:val="0"/>
          <w:sz w:val="24"/>
          <w:szCs w:val="24"/>
          <w:lang w:val="en-US" w:eastAsia="ru-RU"/>
          <w14:ligatures w14:val="none"/>
        </w:rPr>
        <w:t>7.1. The promotional funds:</w:t>
      </w:r>
      <w:r w:rsidRPr="00E7357D">
        <w:rPr>
          <w:rFonts w:eastAsia="Times New Roman" w:cs="Times New Roman"/>
          <w:kern w:val="0"/>
          <w:sz w:val="24"/>
          <w:szCs w:val="24"/>
          <w:lang w:val="en-US" w:eastAsia="ru-RU"/>
          <w14:ligatures w14:val="none"/>
        </w:rPr>
        <w:br/>
        <w:t>— cannot be withdrawn as cash (unless otherwise allowed under Bank rules);</w:t>
      </w:r>
      <w:r w:rsidRPr="00E7357D">
        <w:rPr>
          <w:rFonts w:eastAsia="Times New Roman" w:cs="Times New Roman"/>
          <w:kern w:val="0"/>
          <w:sz w:val="24"/>
          <w:szCs w:val="24"/>
          <w:lang w:val="en-US" w:eastAsia="ru-RU"/>
          <w14:ligatures w14:val="none"/>
        </w:rPr>
        <w:br/>
        <w:t>— may be restricted from transfers to third parties;</w:t>
      </w:r>
      <w:r w:rsidRPr="00E7357D">
        <w:rPr>
          <w:rFonts w:eastAsia="Times New Roman" w:cs="Times New Roman"/>
          <w:kern w:val="0"/>
          <w:sz w:val="24"/>
          <w:szCs w:val="24"/>
          <w:lang w:val="en-US" w:eastAsia="ru-RU"/>
          <w14:ligatures w14:val="none"/>
        </w:rPr>
        <w:br/>
        <w:t>— must be used in accordance with standard card usage rules.</w:t>
      </w:r>
    </w:p>
    <w:p w14:paraId="48438716" w14:textId="77777777" w:rsidR="00E7357D" w:rsidRDefault="00E7357D" w:rsidP="002D3656">
      <w:pPr>
        <w:spacing w:after="0"/>
        <w:ind w:firstLine="709"/>
        <w:rPr>
          <w:rFonts w:eastAsia="Times New Roman" w:cs="Times New Roman"/>
          <w:kern w:val="0"/>
          <w:sz w:val="24"/>
          <w:szCs w:val="24"/>
          <w:lang w:eastAsia="ru-RU"/>
          <w14:ligatures w14:val="none"/>
        </w:rPr>
      </w:pPr>
      <w:r w:rsidRPr="00E7357D">
        <w:rPr>
          <w:rFonts w:eastAsia="Times New Roman" w:cs="Times New Roman"/>
          <w:kern w:val="0"/>
          <w:sz w:val="24"/>
          <w:szCs w:val="24"/>
          <w:lang w:val="en-US" w:eastAsia="ru-RU"/>
          <w14:ligatures w14:val="none"/>
        </w:rPr>
        <w:t>7.2. The Bank may introduce additional safeguards to prevent misuse or fraud.</w:t>
      </w:r>
    </w:p>
    <w:p w14:paraId="0DE376A3" w14:textId="77777777" w:rsidR="002D3656" w:rsidRPr="00E7357D" w:rsidRDefault="002D3656" w:rsidP="002D3656">
      <w:pPr>
        <w:spacing w:after="0"/>
        <w:ind w:firstLine="709"/>
        <w:rPr>
          <w:rFonts w:eastAsia="Times New Roman" w:cs="Times New Roman"/>
          <w:kern w:val="0"/>
          <w:sz w:val="24"/>
          <w:szCs w:val="24"/>
          <w:lang w:eastAsia="ru-RU"/>
          <w14:ligatures w14:val="none"/>
        </w:rPr>
      </w:pPr>
    </w:p>
    <w:p w14:paraId="26382D0D" w14:textId="77777777" w:rsidR="00E7357D" w:rsidRPr="00E7357D" w:rsidRDefault="00E7357D" w:rsidP="002D3656">
      <w:pPr>
        <w:pStyle w:val="af0"/>
        <w:ind w:firstLine="709"/>
        <w:rPr>
          <w:b/>
          <w:bCs/>
          <w:lang w:val="en-US" w:eastAsia="ru-RU"/>
        </w:rPr>
      </w:pPr>
      <w:r w:rsidRPr="00E7357D">
        <w:rPr>
          <w:b/>
          <w:bCs/>
          <w:lang w:val="en-US" w:eastAsia="ru-RU"/>
        </w:rPr>
        <w:t>8. Rights and Responsibilities</w:t>
      </w:r>
    </w:p>
    <w:p w14:paraId="5425251C" w14:textId="77777777" w:rsidR="00E7357D" w:rsidRPr="00E7357D" w:rsidRDefault="00E7357D" w:rsidP="002D3656">
      <w:pPr>
        <w:spacing w:after="0"/>
        <w:ind w:firstLine="709"/>
        <w:rPr>
          <w:rFonts w:eastAsia="Times New Roman" w:cs="Times New Roman"/>
          <w:kern w:val="0"/>
          <w:sz w:val="24"/>
          <w:szCs w:val="24"/>
          <w:lang w:val="en-US" w:eastAsia="ru-RU"/>
          <w14:ligatures w14:val="none"/>
        </w:rPr>
      </w:pPr>
      <w:r w:rsidRPr="00E7357D">
        <w:rPr>
          <w:rFonts w:eastAsia="Times New Roman" w:cs="Times New Roman"/>
          <w:kern w:val="0"/>
          <w:sz w:val="24"/>
          <w:szCs w:val="24"/>
          <w:lang w:val="en-US" w:eastAsia="ru-RU"/>
          <w14:ligatures w14:val="none"/>
        </w:rPr>
        <w:t>8.1. The Bank may:</w:t>
      </w:r>
      <w:r w:rsidRPr="00E7357D">
        <w:rPr>
          <w:rFonts w:eastAsia="Times New Roman" w:cs="Times New Roman"/>
          <w:kern w:val="0"/>
          <w:sz w:val="24"/>
          <w:szCs w:val="24"/>
          <w:lang w:val="en-US" w:eastAsia="ru-RU"/>
          <w14:ligatures w14:val="none"/>
        </w:rPr>
        <w:br/>
        <w:t>— change the terms of the Promotion;</w:t>
      </w:r>
      <w:r w:rsidRPr="00E7357D">
        <w:rPr>
          <w:rFonts w:eastAsia="Times New Roman" w:cs="Times New Roman"/>
          <w:kern w:val="0"/>
          <w:sz w:val="24"/>
          <w:szCs w:val="24"/>
          <w:lang w:val="en-US" w:eastAsia="ru-RU"/>
          <w14:ligatures w14:val="none"/>
        </w:rPr>
        <w:br/>
        <w:t>— pause or end the Promotion at any time;</w:t>
      </w:r>
      <w:r w:rsidRPr="00E7357D">
        <w:rPr>
          <w:rFonts w:eastAsia="Times New Roman" w:cs="Times New Roman"/>
          <w:kern w:val="0"/>
          <w:sz w:val="24"/>
          <w:szCs w:val="24"/>
          <w:lang w:val="en-US" w:eastAsia="ru-RU"/>
          <w14:ligatures w14:val="none"/>
        </w:rPr>
        <w:br/>
        <w:t>— deny participation if the terms or applicable laws are violated.</w:t>
      </w:r>
    </w:p>
    <w:p w14:paraId="300D97C3" w14:textId="77777777" w:rsidR="00E7357D" w:rsidRDefault="00E7357D" w:rsidP="002D3656">
      <w:pPr>
        <w:spacing w:after="0"/>
        <w:ind w:firstLine="709"/>
        <w:rPr>
          <w:rFonts w:eastAsia="Times New Roman" w:cs="Times New Roman"/>
          <w:kern w:val="0"/>
          <w:sz w:val="24"/>
          <w:szCs w:val="24"/>
          <w:lang w:eastAsia="ru-RU"/>
          <w14:ligatures w14:val="none"/>
        </w:rPr>
      </w:pPr>
      <w:r w:rsidRPr="00E7357D">
        <w:rPr>
          <w:rFonts w:eastAsia="Times New Roman" w:cs="Times New Roman"/>
          <w:kern w:val="0"/>
          <w:sz w:val="24"/>
          <w:szCs w:val="24"/>
          <w:lang w:val="en-US" w:eastAsia="ru-RU"/>
          <w14:ligatures w14:val="none"/>
        </w:rPr>
        <w:t>8.2. You agree to:</w:t>
      </w:r>
      <w:r w:rsidRPr="00E7357D">
        <w:rPr>
          <w:rFonts w:eastAsia="Times New Roman" w:cs="Times New Roman"/>
          <w:kern w:val="0"/>
          <w:sz w:val="24"/>
          <w:szCs w:val="24"/>
          <w:lang w:val="en-US" w:eastAsia="ru-RU"/>
          <w14:ligatures w14:val="none"/>
        </w:rPr>
        <w:br/>
        <w:t>— provide accurate information;</w:t>
      </w:r>
      <w:r w:rsidRPr="00E7357D">
        <w:rPr>
          <w:rFonts w:eastAsia="Times New Roman" w:cs="Times New Roman"/>
          <w:kern w:val="0"/>
          <w:sz w:val="24"/>
          <w:szCs w:val="24"/>
          <w:lang w:val="en-US" w:eastAsia="ru-RU"/>
          <w14:ligatures w14:val="none"/>
        </w:rPr>
        <w:br/>
        <w:t>— follow these terms and the Bank’s policies.</w:t>
      </w:r>
    </w:p>
    <w:p w14:paraId="588CEFD2" w14:textId="77777777" w:rsidR="002D3656" w:rsidRPr="00E7357D" w:rsidRDefault="002D3656" w:rsidP="002D3656">
      <w:pPr>
        <w:spacing w:after="0"/>
        <w:ind w:firstLine="709"/>
        <w:rPr>
          <w:rFonts w:eastAsia="Times New Roman" w:cs="Times New Roman"/>
          <w:kern w:val="0"/>
          <w:sz w:val="24"/>
          <w:szCs w:val="24"/>
          <w:lang w:eastAsia="ru-RU"/>
          <w14:ligatures w14:val="none"/>
        </w:rPr>
      </w:pPr>
    </w:p>
    <w:p w14:paraId="22259633" w14:textId="77777777" w:rsidR="00E7357D" w:rsidRPr="00E7357D" w:rsidRDefault="00E7357D" w:rsidP="002D3656">
      <w:pPr>
        <w:pStyle w:val="af0"/>
        <w:ind w:firstLine="709"/>
        <w:rPr>
          <w:b/>
          <w:bCs/>
          <w:lang w:val="en-US" w:eastAsia="ru-RU"/>
        </w:rPr>
      </w:pPr>
      <w:r w:rsidRPr="00E7357D">
        <w:rPr>
          <w:b/>
          <w:bCs/>
          <w:lang w:val="en-US" w:eastAsia="ru-RU"/>
        </w:rPr>
        <w:t>9. Personal Data</w:t>
      </w:r>
    </w:p>
    <w:p w14:paraId="16FFDD0D" w14:textId="77777777" w:rsidR="00E7357D" w:rsidRDefault="00E7357D" w:rsidP="002D3656">
      <w:pPr>
        <w:spacing w:after="0"/>
        <w:ind w:firstLine="709"/>
        <w:rPr>
          <w:rFonts w:eastAsia="Times New Roman" w:cs="Times New Roman"/>
          <w:kern w:val="0"/>
          <w:sz w:val="24"/>
          <w:szCs w:val="24"/>
          <w:lang w:eastAsia="ru-RU"/>
          <w14:ligatures w14:val="none"/>
        </w:rPr>
      </w:pPr>
      <w:r w:rsidRPr="00E7357D">
        <w:rPr>
          <w:rFonts w:eastAsia="Times New Roman" w:cs="Times New Roman"/>
          <w:kern w:val="0"/>
          <w:sz w:val="24"/>
          <w:szCs w:val="24"/>
          <w:lang w:val="en-US" w:eastAsia="ru-RU"/>
          <w14:ligatures w14:val="none"/>
        </w:rPr>
        <w:t>9.1. By participating, you consent to the processing of your personal data in accordance with applicable laws.</w:t>
      </w:r>
    </w:p>
    <w:p w14:paraId="715E4113" w14:textId="77777777" w:rsidR="002D3656" w:rsidRPr="00E7357D" w:rsidRDefault="002D3656" w:rsidP="002D3656">
      <w:pPr>
        <w:spacing w:after="0"/>
        <w:ind w:firstLine="709"/>
        <w:rPr>
          <w:rFonts w:eastAsia="Times New Roman" w:cs="Times New Roman"/>
          <w:kern w:val="0"/>
          <w:sz w:val="24"/>
          <w:szCs w:val="24"/>
          <w:lang w:eastAsia="ru-RU"/>
          <w14:ligatures w14:val="none"/>
        </w:rPr>
      </w:pPr>
    </w:p>
    <w:p w14:paraId="734C3261" w14:textId="77777777" w:rsidR="00E7357D" w:rsidRPr="00E7357D" w:rsidRDefault="00E7357D" w:rsidP="002D3656">
      <w:pPr>
        <w:pStyle w:val="af0"/>
        <w:ind w:firstLine="709"/>
        <w:rPr>
          <w:b/>
          <w:bCs/>
          <w:lang w:val="en-US" w:eastAsia="ru-RU"/>
        </w:rPr>
      </w:pPr>
      <w:r w:rsidRPr="00E7357D">
        <w:rPr>
          <w:b/>
          <w:bCs/>
          <w:lang w:val="en-US" w:eastAsia="ru-RU"/>
        </w:rPr>
        <w:t>10. Final Terms</w:t>
      </w:r>
    </w:p>
    <w:p w14:paraId="4D35A4C1" w14:textId="77777777" w:rsidR="00E7357D" w:rsidRPr="00E7357D" w:rsidRDefault="00E7357D" w:rsidP="002D3656">
      <w:pPr>
        <w:spacing w:after="0"/>
        <w:ind w:firstLine="709"/>
        <w:jc w:val="both"/>
        <w:rPr>
          <w:rFonts w:eastAsia="Times New Roman" w:cs="Times New Roman"/>
          <w:kern w:val="0"/>
          <w:sz w:val="24"/>
          <w:szCs w:val="24"/>
          <w:lang w:val="en-US" w:eastAsia="ru-RU"/>
          <w14:ligatures w14:val="none"/>
        </w:rPr>
      </w:pPr>
      <w:r w:rsidRPr="00E7357D">
        <w:rPr>
          <w:rFonts w:eastAsia="Times New Roman" w:cs="Times New Roman"/>
          <w:kern w:val="0"/>
          <w:sz w:val="24"/>
          <w:szCs w:val="24"/>
          <w:lang w:val="en-US" w:eastAsia="ru-RU"/>
          <w14:ligatures w14:val="none"/>
        </w:rPr>
        <w:t>10.1. This Offer becomes effective once published on the Bank’s official website.</w:t>
      </w:r>
    </w:p>
    <w:p w14:paraId="1DFE6126" w14:textId="77777777" w:rsidR="00E7357D" w:rsidRPr="00E7357D" w:rsidRDefault="00E7357D" w:rsidP="002D3656">
      <w:pPr>
        <w:spacing w:after="0"/>
        <w:ind w:firstLine="709"/>
        <w:jc w:val="both"/>
        <w:rPr>
          <w:rFonts w:eastAsia="Times New Roman" w:cs="Times New Roman"/>
          <w:kern w:val="0"/>
          <w:sz w:val="24"/>
          <w:szCs w:val="24"/>
          <w:lang w:val="en-US" w:eastAsia="ru-RU"/>
          <w14:ligatures w14:val="none"/>
        </w:rPr>
      </w:pPr>
      <w:r w:rsidRPr="00E7357D">
        <w:rPr>
          <w:rFonts w:eastAsia="Times New Roman" w:cs="Times New Roman"/>
          <w:kern w:val="0"/>
          <w:sz w:val="24"/>
          <w:szCs w:val="24"/>
          <w:lang w:val="en-US" w:eastAsia="ru-RU"/>
          <w14:ligatures w14:val="none"/>
        </w:rPr>
        <w:t>10.2. You accept this Offer by completing the required steps, including purchasing and activating the card.</w:t>
      </w:r>
    </w:p>
    <w:p w14:paraId="42E1AAE6" w14:textId="77777777" w:rsidR="00E7357D" w:rsidRPr="00E7357D" w:rsidRDefault="00E7357D" w:rsidP="002D3656">
      <w:pPr>
        <w:spacing w:after="0"/>
        <w:ind w:firstLine="709"/>
        <w:jc w:val="both"/>
        <w:rPr>
          <w:rFonts w:eastAsia="Times New Roman" w:cs="Times New Roman"/>
          <w:kern w:val="0"/>
          <w:sz w:val="24"/>
          <w:szCs w:val="24"/>
          <w:lang w:val="en-US" w:eastAsia="ru-RU"/>
          <w14:ligatures w14:val="none"/>
        </w:rPr>
      </w:pPr>
      <w:r w:rsidRPr="00E7357D">
        <w:rPr>
          <w:rFonts w:eastAsia="Times New Roman" w:cs="Times New Roman"/>
          <w:kern w:val="0"/>
          <w:sz w:val="24"/>
          <w:szCs w:val="24"/>
          <w:lang w:val="en-US" w:eastAsia="ru-RU"/>
          <w14:ligatures w14:val="none"/>
        </w:rPr>
        <w:t>10.3. Any matters not covered here are governed by the laws of the Republic of Uzbekistan.</w:t>
      </w:r>
    </w:p>
    <w:p w14:paraId="06D24B10" w14:textId="326F859E" w:rsidR="00F12C76" w:rsidRPr="00E7357D" w:rsidRDefault="00F12C76" w:rsidP="002D3656">
      <w:pPr>
        <w:spacing w:after="0"/>
        <w:ind w:firstLine="709"/>
        <w:rPr>
          <w:lang w:val="en-US"/>
        </w:rPr>
      </w:pPr>
    </w:p>
    <w:sectPr w:rsidR="00F12C76" w:rsidRPr="00E7357D" w:rsidSect="006C0B77">
      <w:headerReference w:type="default" r:id="rId7"/>
      <w:foot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9FF82" w14:textId="77777777" w:rsidR="00CC7993" w:rsidRDefault="00CC7993" w:rsidP="00763756">
      <w:pPr>
        <w:spacing w:after="0"/>
      </w:pPr>
      <w:r>
        <w:separator/>
      </w:r>
    </w:p>
  </w:endnote>
  <w:endnote w:type="continuationSeparator" w:id="0">
    <w:p w14:paraId="3F1BF95B" w14:textId="77777777" w:rsidR="00CC7993" w:rsidRDefault="00CC7993" w:rsidP="007637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24758605"/>
      <w:docPartObj>
        <w:docPartGallery w:val="Page Numbers (Bottom of Page)"/>
        <w:docPartUnique/>
      </w:docPartObj>
    </w:sdtPr>
    <w:sdtContent>
      <w:p w14:paraId="1D705228" w14:textId="6F266896" w:rsidR="00763756" w:rsidRPr="00763756" w:rsidRDefault="00763756">
        <w:pPr>
          <w:pStyle w:val="ae"/>
          <w:jc w:val="right"/>
          <w:rPr>
            <w:sz w:val="24"/>
            <w:szCs w:val="24"/>
          </w:rPr>
        </w:pPr>
        <w:r w:rsidRPr="00763756">
          <w:rPr>
            <w:sz w:val="24"/>
            <w:szCs w:val="24"/>
          </w:rPr>
          <w:fldChar w:fldCharType="begin"/>
        </w:r>
        <w:r w:rsidRPr="00763756">
          <w:rPr>
            <w:sz w:val="24"/>
            <w:szCs w:val="24"/>
          </w:rPr>
          <w:instrText>PAGE   \* MERGEFORMAT</w:instrText>
        </w:r>
        <w:r w:rsidRPr="00763756">
          <w:rPr>
            <w:sz w:val="24"/>
            <w:szCs w:val="24"/>
          </w:rPr>
          <w:fldChar w:fldCharType="separate"/>
        </w:r>
        <w:r w:rsidR="00EB3937">
          <w:rPr>
            <w:noProof/>
            <w:sz w:val="24"/>
            <w:szCs w:val="24"/>
          </w:rPr>
          <w:t>2</w:t>
        </w:r>
        <w:r w:rsidRPr="00763756">
          <w:rPr>
            <w:sz w:val="24"/>
            <w:szCs w:val="24"/>
          </w:rPr>
          <w:fldChar w:fldCharType="end"/>
        </w:r>
      </w:p>
    </w:sdtContent>
  </w:sdt>
  <w:p w14:paraId="0CA80ADB" w14:textId="77777777" w:rsidR="00763756" w:rsidRDefault="0076375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AA7AE" w14:textId="77777777" w:rsidR="00CC7993" w:rsidRDefault="00CC7993" w:rsidP="00763756">
      <w:pPr>
        <w:spacing w:after="0"/>
      </w:pPr>
      <w:r>
        <w:separator/>
      </w:r>
    </w:p>
  </w:footnote>
  <w:footnote w:type="continuationSeparator" w:id="0">
    <w:p w14:paraId="321CBA11" w14:textId="77777777" w:rsidR="00CC7993" w:rsidRDefault="00CC7993" w:rsidP="007637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B9CD3" w14:textId="24D0B427" w:rsidR="00763756" w:rsidRDefault="00763756" w:rsidP="00763756">
    <w:pPr>
      <w:pStyle w:val="ac"/>
      <w:jc w:val="right"/>
    </w:pPr>
    <w:r w:rsidRPr="00763756">
      <w:rPr>
        <w:noProof/>
        <w:lang w:eastAsia="ru-RU"/>
      </w:rPr>
      <w:drawing>
        <wp:inline distT="0" distB="0" distL="0" distR="0" wp14:anchorId="56D09E1D" wp14:editId="185F504C">
          <wp:extent cx="1219200" cy="465056"/>
          <wp:effectExtent l="0" t="0" r="0" b="0"/>
          <wp:docPr id="30936454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9553" cy="4690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B0A82"/>
    <w:multiLevelType w:val="multilevel"/>
    <w:tmpl w:val="8D3E0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912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756"/>
    <w:rsid w:val="00093CF2"/>
    <w:rsid w:val="002D3656"/>
    <w:rsid w:val="004F0AA6"/>
    <w:rsid w:val="0052001A"/>
    <w:rsid w:val="005C2040"/>
    <w:rsid w:val="006C0B77"/>
    <w:rsid w:val="00763756"/>
    <w:rsid w:val="007A4EFE"/>
    <w:rsid w:val="008242FF"/>
    <w:rsid w:val="00870751"/>
    <w:rsid w:val="0089671A"/>
    <w:rsid w:val="008A6283"/>
    <w:rsid w:val="00922C48"/>
    <w:rsid w:val="00966DA8"/>
    <w:rsid w:val="00B42EDF"/>
    <w:rsid w:val="00B915B7"/>
    <w:rsid w:val="00CC7993"/>
    <w:rsid w:val="00E7357D"/>
    <w:rsid w:val="00E97752"/>
    <w:rsid w:val="00EA59DF"/>
    <w:rsid w:val="00EB3937"/>
    <w:rsid w:val="00EE4070"/>
    <w:rsid w:val="00F12C76"/>
    <w:rsid w:val="00FB3C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2A49A"/>
  <w15:chartTrackingRefBased/>
  <w15:docId w15:val="{AACE97B7-D470-4D72-A342-E25EA5AC6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76375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76375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763756"/>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76375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763756"/>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763756"/>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63756"/>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63756"/>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63756"/>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3756"/>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763756"/>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763756"/>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763756"/>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763756"/>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763756"/>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763756"/>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763756"/>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763756"/>
    <w:rPr>
      <w:rFonts w:eastAsiaTheme="majorEastAsia" w:cstheme="majorBidi"/>
      <w:color w:val="272727" w:themeColor="text1" w:themeTint="D8"/>
      <w:sz w:val="28"/>
    </w:rPr>
  </w:style>
  <w:style w:type="paragraph" w:styleId="a3">
    <w:name w:val="Title"/>
    <w:basedOn w:val="a"/>
    <w:next w:val="a"/>
    <w:link w:val="a4"/>
    <w:uiPriority w:val="10"/>
    <w:qFormat/>
    <w:rsid w:val="00763756"/>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637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3756"/>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76375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63756"/>
    <w:pPr>
      <w:spacing w:before="160"/>
      <w:jc w:val="center"/>
    </w:pPr>
    <w:rPr>
      <w:i/>
      <w:iCs/>
      <w:color w:val="404040" w:themeColor="text1" w:themeTint="BF"/>
    </w:rPr>
  </w:style>
  <w:style w:type="character" w:customStyle="1" w:styleId="22">
    <w:name w:val="Цитата 2 Знак"/>
    <w:basedOn w:val="a0"/>
    <w:link w:val="21"/>
    <w:uiPriority w:val="29"/>
    <w:rsid w:val="00763756"/>
    <w:rPr>
      <w:rFonts w:ascii="Times New Roman" w:hAnsi="Times New Roman"/>
      <w:i/>
      <w:iCs/>
      <w:color w:val="404040" w:themeColor="text1" w:themeTint="BF"/>
      <w:sz w:val="28"/>
    </w:rPr>
  </w:style>
  <w:style w:type="paragraph" w:styleId="a7">
    <w:name w:val="List Paragraph"/>
    <w:basedOn w:val="a"/>
    <w:uiPriority w:val="34"/>
    <w:qFormat/>
    <w:rsid w:val="00763756"/>
    <w:pPr>
      <w:ind w:left="720"/>
      <w:contextualSpacing/>
    </w:pPr>
  </w:style>
  <w:style w:type="character" w:styleId="a8">
    <w:name w:val="Intense Emphasis"/>
    <w:basedOn w:val="a0"/>
    <w:uiPriority w:val="21"/>
    <w:qFormat/>
    <w:rsid w:val="00763756"/>
    <w:rPr>
      <w:i/>
      <w:iCs/>
      <w:color w:val="2E74B5" w:themeColor="accent1" w:themeShade="BF"/>
    </w:rPr>
  </w:style>
  <w:style w:type="paragraph" w:styleId="a9">
    <w:name w:val="Intense Quote"/>
    <w:basedOn w:val="a"/>
    <w:next w:val="a"/>
    <w:link w:val="aa"/>
    <w:uiPriority w:val="30"/>
    <w:qFormat/>
    <w:rsid w:val="0076375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763756"/>
    <w:rPr>
      <w:rFonts w:ascii="Times New Roman" w:hAnsi="Times New Roman"/>
      <w:i/>
      <w:iCs/>
      <w:color w:val="2E74B5" w:themeColor="accent1" w:themeShade="BF"/>
      <w:sz w:val="28"/>
    </w:rPr>
  </w:style>
  <w:style w:type="character" w:styleId="ab">
    <w:name w:val="Intense Reference"/>
    <w:basedOn w:val="a0"/>
    <w:uiPriority w:val="32"/>
    <w:qFormat/>
    <w:rsid w:val="00763756"/>
    <w:rPr>
      <w:b/>
      <w:bCs/>
      <w:smallCaps/>
      <w:color w:val="2E74B5" w:themeColor="accent1" w:themeShade="BF"/>
      <w:spacing w:val="5"/>
    </w:rPr>
  </w:style>
  <w:style w:type="paragraph" w:styleId="ac">
    <w:name w:val="header"/>
    <w:basedOn w:val="a"/>
    <w:link w:val="ad"/>
    <w:uiPriority w:val="99"/>
    <w:unhideWhenUsed/>
    <w:rsid w:val="00763756"/>
    <w:pPr>
      <w:tabs>
        <w:tab w:val="center" w:pos="4677"/>
        <w:tab w:val="right" w:pos="9355"/>
      </w:tabs>
      <w:spacing w:after="0"/>
    </w:pPr>
  </w:style>
  <w:style w:type="character" w:customStyle="1" w:styleId="ad">
    <w:name w:val="Верхний колонтитул Знак"/>
    <w:basedOn w:val="a0"/>
    <w:link w:val="ac"/>
    <w:uiPriority w:val="99"/>
    <w:rsid w:val="00763756"/>
    <w:rPr>
      <w:rFonts w:ascii="Times New Roman" w:hAnsi="Times New Roman"/>
      <w:sz w:val="28"/>
    </w:rPr>
  </w:style>
  <w:style w:type="paragraph" w:styleId="ae">
    <w:name w:val="footer"/>
    <w:basedOn w:val="a"/>
    <w:link w:val="af"/>
    <w:uiPriority w:val="99"/>
    <w:unhideWhenUsed/>
    <w:rsid w:val="00763756"/>
    <w:pPr>
      <w:tabs>
        <w:tab w:val="center" w:pos="4677"/>
        <w:tab w:val="right" w:pos="9355"/>
      </w:tabs>
      <w:spacing w:after="0"/>
    </w:pPr>
  </w:style>
  <w:style w:type="character" w:customStyle="1" w:styleId="af">
    <w:name w:val="Нижний колонтитул Знак"/>
    <w:basedOn w:val="a0"/>
    <w:link w:val="ae"/>
    <w:uiPriority w:val="99"/>
    <w:rsid w:val="00763756"/>
    <w:rPr>
      <w:rFonts w:ascii="Times New Roman" w:hAnsi="Times New Roman"/>
      <w:sz w:val="28"/>
    </w:rPr>
  </w:style>
  <w:style w:type="paragraph" w:styleId="af0">
    <w:name w:val="No Spacing"/>
    <w:uiPriority w:val="1"/>
    <w:qFormat/>
    <w:rsid w:val="00E97752"/>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573</Words>
  <Characters>3268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Xamidova</dc:creator>
  <cp:keywords/>
  <dc:description/>
  <cp:lastModifiedBy>Sabina Xamidova</cp:lastModifiedBy>
  <cp:revision>2</cp:revision>
  <dcterms:created xsi:type="dcterms:W3CDTF">2026-04-03T10:51:00Z</dcterms:created>
  <dcterms:modified xsi:type="dcterms:W3CDTF">2026-04-03T10:51:00Z</dcterms:modified>
</cp:coreProperties>
</file>