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right" w:tblpY="-142"/>
        <w:tblW w:w="0" w:type="auto"/>
        <w:tblLook w:val="04A0" w:firstRow="1" w:lastRow="0" w:firstColumn="1" w:lastColumn="0" w:noHBand="0" w:noVBand="1"/>
      </w:tblPr>
      <w:tblGrid>
        <w:gridCol w:w="4405"/>
      </w:tblGrid>
      <w:tr w:rsidR="00671CA2" w:rsidRPr="002F3551" w14:paraId="31A141E1" w14:textId="77777777" w:rsidTr="00671CA2">
        <w:trPr>
          <w:trHeight w:val="775"/>
        </w:trPr>
        <w:tc>
          <w:tcPr>
            <w:tcW w:w="4405" w:type="dxa"/>
          </w:tcPr>
          <w:p w14:paraId="4B590853" w14:textId="2CFCD7EC" w:rsidR="00671CA2" w:rsidRPr="002F3551" w:rsidRDefault="002F3551" w:rsidP="006775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Kreditning</w:t>
            </w:r>
            <w:proofErr w:type="spellEnd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umumiy</w:t>
            </w:r>
            <w:proofErr w:type="spellEnd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qiymati</w:t>
            </w:r>
            <w:proofErr w:type="spellEnd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_____________ (</w:t>
            </w:r>
            <w:proofErr w:type="spellStart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yozma</w:t>
            </w:r>
            <w:proofErr w:type="spellEnd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ravishda</w:t>
            </w:r>
            <w:proofErr w:type="spellEnd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so‘</w:t>
            </w:r>
            <w:proofErr w:type="gramEnd"/>
            <w:r w:rsidRPr="002F3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proofErr w:type="spellEnd"/>
          </w:p>
        </w:tc>
      </w:tr>
    </w:tbl>
    <w:p w14:paraId="23318460" w14:textId="77777777" w:rsidR="00A0107E" w:rsidRPr="002F3551" w:rsidRDefault="00A0107E" w:rsidP="0043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786BA" w14:textId="77777777" w:rsidR="00A0107E" w:rsidRPr="002F3551" w:rsidRDefault="00A0107E" w:rsidP="0043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DEA0A5" w14:textId="77777777" w:rsidR="00A0107E" w:rsidRPr="002F3551" w:rsidRDefault="00A0107E" w:rsidP="0043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D092B8" w14:textId="77777777" w:rsidR="00A0107E" w:rsidRPr="002F3551" w:rsidRDefault="00A0107E" w:rsidP="0043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FA62B1" w14:textId="77777777" w:rsidR="0069577F" w:rsidRPr="002F3551" w:rsidRDefault="0069577F" w:rsidP="004327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1B378A" w14:textId="54D1354A" w:rsidR="00DD46D7" w:rsidRPr="002F3551" w:rsidRDefault="002F3551" w:rsidP="002F35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>ajratish</w:t>
      </w:r>
      <w:proofErr w:type="spellEnd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>risida</w:t>
      </w:r>
      <w:proofErr w:type="spellEnd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br/>
        <w:t>__________-</w:t>
      </w:r>
      <w:proofErr w:type="spellStart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>sonli</w:t>
      </w:r>
      <w:proofErr w:type="spellEnd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b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DD46D7" w:rsidRPr="00DD46D7">
        <w:rPr>
          <w:rFonts w:ascii="Times New Roman" w:hAnsi="Times New Roman" w:cs="Times New Roman"/>
          <w:sz w:val="24"/>
          <w:szCs w:val="24"/>
          <w:lang w:val="uz-Cyrl-UZ"/>
        </w:rPr>
        <w:t xml:space="preserve">2025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="00DD46D7" w:rsidRPr="00DD46D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D46D7" w:rsidRPr="00166A8A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</w:t>
      </w:r>
      <w:r w:rsidR="006775BF">
        <w:rPr>
          <w:rFonts w:ascii="Times New Roman" w:hAnsi="Times New Roman" w:cs="Times New Roman"/>
          <w:sz w:val="24"/>
          <w:szCs w:val="24"/>
          <w:lang w:val="uz-Cyrl-UZ"/>
        </w:rPr>
        <w:t xml:space="preserve">         </w:t>
      </w:r>
      <w:r w:rsidR="00DD46D7" w:rsidRPr="00166A8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Toshkent</w:t>
      </w:r>
      <w:r w:rsidR="006775B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sh.</w:t>
      </w:r>
    </w:p>
    <w:p w14:paraId="2A1CA896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“Garant bank”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aksiyadorlik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jamiyatining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xizmatlari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ofisi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o‘rinlarda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– Bank)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nomidan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Nizom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2025-yil _______ _______-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sonli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ishonchnoma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harakat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boshqaruvchisi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doimiy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yashash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ro‘yxatga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, ______________________________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pasport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)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o‘rinlarda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tuzdilar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D6C201" w14:textId="6DB093A2" w:rsidR="00DD46D7" w:rsidRPr="002F3551" w:rsidRDefault="00DD46D7" w:rsidP="006775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D9D45" w14:textId="1888347B" w:rsidR="00DD46D7" w:rsidRPr="006775BF" w:rsidRDefault="00DD46D7" w:rsidP="006775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6775B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1.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Shartnoma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predmeti</w:t>
      </w:r>
      <w:proofErr w:type="spellEnd"/>
    </w:p>
    <w:p w14:paraId="746AF76F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1.1.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nazarda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tutilgan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summasi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 (__________________________)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mni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A35609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1.2.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qoldig‘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___%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stavkasi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hajmida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shiladi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rnatilgan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stavkasidan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1,5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barobari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miqdorida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ammo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kechiktirilgan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summasining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oshmagan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oyning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2-kunidan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kechikmay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boriladi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2862BA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1.3.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- __ oy.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 (____________</w:t>
      </w:r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_)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stavkasi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zgarmas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1C1EDB" w14:textId="209F6B70" w:rsidR="00DD46D7" w:rsidRPr="002F3551" w:rsidRDefault="00DD46D7" w:rsidP="006775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75B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2.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Asosiy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tushunchalar</w:t>
      </w:r>
      <w:proofErr w:type="spellEnd"/>
    </w:p>
    <w:p w14:paraId="6911ACC3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tushunchalardan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61D9A37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voyaga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yetgan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muomala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layoqatiga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doimiy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turar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joyiga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barqaror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daromad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B226F8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–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qonunchilik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me’yoriy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tartibda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lovlilik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muddatlilik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naqd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pulsiz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shaklda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kartasiga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tkazish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naqd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rinishida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ajratiladigan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8DBCA8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sanasi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bajarishiga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jami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qoldig‘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qoldig‘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qoplaydigan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oxirgi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tushgan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sana;</w:t>
      </w:r>
    </w:p>
    <w:p w14:paraId="298B343A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nomiga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ochilgan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hisobvaraqlarda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yuritilayotgan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yoxud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qoldig‘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raqamlarida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ochilgan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raqamlarida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yozilgan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C5F5B94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lastRenderedPageBreak/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yoxud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yozilgan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lanmagan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summasi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B70819" w14:textId="1FC18E99" w:rsidR="00DD46D7" w:rsidRPr="008237C8" w:rsidRDefault="00DD46D7" w:rsidP="008237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237C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3.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Kredit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ajratish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shartlari</w:t>
      </w:r>
      <w:proofErr w:type="spellEnd"/>
    </w:p>
    <w:p w14:paraId="1D9B0562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3.1.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annuitet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differensial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usulda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boriladi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ilovasi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ajralmas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grafigiga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davriyligi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oyning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__-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sanasiga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oyiga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sanasi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dam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kelsa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oxirgi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- _________-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2A386C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tegishlicha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bajarilishini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Fuqarolik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kodeksining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783-moddasiga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banklardagi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hisobvaraqlaridan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valyutadagi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akseptsiz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chiqarib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C36D6F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3.3.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hisobvaraqlarida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tartib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ketma-ketlikda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naltiriladi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4A323C" w14:textId="77777777" w:rsidR="002F3551" w:rsidRPr="002F3551" w:rsidRDefault="002F3551" w:rsidP="002F355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mutanosib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6760BD3" w14:textId="77777777" w:rsidR="002F3551" w:rsidRPr="002F3551" w:rsidRDefault="002F3551" w:rsidP="002F355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joriy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davr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joriy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davr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9B08A60" w14:textId="77777777" w:rsidR="002F3551" w:rsidRPr="002F3551" w:rsidRDefault="002F3551" w:rsidP="002F355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</w:rPr>
        <w:t>neustoyka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jarima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penya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4B94DDB" w14:textId="77777777" w:rsidR="002F3551" w:rsidRPr="002F3551" w:rsidRDefault="002F3551" w:rsidP="002F355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kreditorning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uzish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xarajatlari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3ECA141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sanasi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rsatilgan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hisobvaraqlarga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tushgan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E85D0D" w14:textId="31BACFB9" w:rsidR="00DD46D7" w:rsidRPr="001A469D" w:rsidRDefault="00DD46D7" w:rsidP="001A469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1A469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4.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Tomonlarning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huquqlari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majburiyatlari</w:t>
      </w:r>
      <w:proofErr w:type="spellEnd"/>
    </w:p>
    <w:p w14:paraId="5F7CD4A2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F63C24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4.1.1.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layoqatini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ta’minoti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yetarliligini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yuzasidan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kerakli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6E237E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4.1.2.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navbatdagi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so‘ndirilmagan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a)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to‘lovlar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hisobvarag‘iga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kiritilgan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sanadan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stavkasi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summasidan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 %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stavkaga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hajmida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yuzasidan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darhol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choralar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ko‘rishini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v)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qonunchilikka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ta’minotga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qaratish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borasidagi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huquqlardan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g)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bajarilmaganligi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Kafilning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moliyaviy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ahvoli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yomonlashgan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bo‘lganda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shartnomasini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tomonlama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to‘liq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to‘g‘risida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sudga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da’vo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arizasi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kiritish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tartibda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54809F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Respublikasining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huquqlardan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D74A86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4.1.3.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bajarayotganligini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>“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bajarilishi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risidagi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axboroti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tahliliy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markazi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byurosi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Markaziy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Axboroti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Davlat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Reestriga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yuborish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52CCB4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83B695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4.2.1.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rsatilgan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berilishini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Har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ishlatiladigan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ochilgan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depozit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navbatdagi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kelgunicha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kiritib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005DE0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4.2.2.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zgartirilishi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kutiladigan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1E3BDC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4.2.3.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sanagacha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shilgan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avval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EB2676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4.2.3.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tuzilgan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paytdan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ajratilgungacha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davrda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hech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lamasdan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olishni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rad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imzolashdan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tanishib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2F57E8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4.2.4.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qonunchiligiga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huquqlarga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4C2D5B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374E03C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4.3.1.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bajarilgach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topshiriqnomasi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arizasi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)ga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CB5861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4.3.2. _________________________________________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ochish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0A615F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4.3.3.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topshirig‘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ochilgan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ssuda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kartasiga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465513" w14:textId="77777777" w:rsidR="002F3551" w:rsidRPr="002F3551" w:rsidRDefault="002F3551" w:rsidP="002F3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4.3.4.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berishni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rad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undirishga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qaratish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sabablari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risida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xabardor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550632" w14:textId="77777777" w:rsidR="004B54D9" w:rsidRPr="002F3551" w:rsidRDefault="004B54D9" w:rsidP="00AA63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EE9A95" w14:textId="73B5FECE" w:rsidR="00DD46D7" w:rsidRDefault="00DD46D7" w:rsidP="00DD46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AA631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4.4.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Qarz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oluvchining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majburiyatlari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CE90933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jadvaliga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12E156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Kreditlashning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muddatlilik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qaytariluvchanlik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to‘lanishlilik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tamoyillariga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qat’iy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yuboriladigan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xabarlar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mobil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ilovadagi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bildirishnomalar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SMS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PUSH-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xabarlarni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diqqat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o‘rganib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firibgarlik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aniqlanganligi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to‘g‘risidagi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xabarlarni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olganidan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amaliyotlarini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tasdiqlashda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ehtiyotkor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o‘zining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qurilmasi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yo‘qolganligi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qurilmani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boshqarishga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o‘rnatilganligini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aniqlagan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paytdan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zudlik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biroq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kechiktirmay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xabardor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roziligisiz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operatsiya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faktini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aniqlagan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paytdan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tashkilotini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xabardor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so‘roviga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operatsiyani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o‘zi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mustaqil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oshirganligi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topshirig‘i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yoxud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ixtiyoriy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roziligi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bajarganligi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. Shuningdek,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firibgarlik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holatlari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risidagi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ham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5B8B17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lastRenderedPageBreak/>
        <w:t>4.4.1. “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grafigini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maqsadli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yuzasidan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talablarini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h.k.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buzgan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talabiga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garovga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mol-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mulkni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garov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qiymatida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kelishgan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qiymatda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balansiga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topshirish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70F3CC17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4.4.2.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ta’minoti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quyidagilarni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talablariga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qoniqtiradigan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shaklda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rasmiylashtirib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______________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urta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kompaniyasining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__________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mlik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) “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qaytmaslik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xataridan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urta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polisi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E98D48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ajralmas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jadvali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majburiyatnomaga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</w:t>
      </w:r>
      <w:r w:rsidRPr="002F3551">
        <w:rPr>
          <w:rFonts w:ascii="Times New Roman" w:hAnsi="Times New Roman" w:cs="Times New Roman"/>
          <w:i/>
          <w:iCs/>
          <w:sz w:val="24"/>
          <w:szCs w:val="24"/>
          <w:lang w:val="en-US"/>
        </w:rPr>
        <w:t>202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1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DDF7F8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4.4.4.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tarzda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 xml:space="preserve">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muassasasi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kassasiga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naqd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topshirish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ochilgan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depozit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hisobvarag‘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kartasidan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mablag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‘tkazish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naqd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pulsiz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tkazish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taqiqlanmagan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usullarda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7EC5BF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4.4.5.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foydalanganlik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oyning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__-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___%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____%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753CBA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4.4.6.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tashabbusiga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zgartirish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kiritilganda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mehnatga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lashning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miqdorining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barobari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miqdorida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lovni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A78DA7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4.4.7.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munosabatlari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jarayonida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axborotni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talabiga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javobgar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F21098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4.4.8.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Turar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familiyasi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ismi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zgarishi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kutilayotgani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bajarilishiga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salbiy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ta’sir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rsatishi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vaziyatlar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risida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pi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3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xabar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735149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4.4.9.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qiladigan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mobaynida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roziligisiz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nisbatan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ustuvor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tomonlarning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jalb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qilmasligi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0254F4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tuzishdan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urtalashning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urta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badalini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qoplash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talablari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tanishib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chiqadi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820329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375A1C" w14:textId="35350D9C" w:rsidR="00BF043F" w:rsidRPr="002F3551" w:rsidRDefault="00BF043F" w:rsidP="002F3551">
      <w:pPr>
        <w:spacing w:after="0" w:line="276" w:lineRule="auto"/>
        <w:ind w:firstLine="709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5. </w:t>
      </w:r>
      <w:proofErr w:type="spellStart"/>
      <w:r w:rsidR="002F3551" w:rsidRPr="002F3551">
        <w:rPr>
          <w:rFonts w:ascii="Times New Roman" w:hAnsi="Times New Roman" w:cs="Times New Roman"/>
          <w:b/>
        </w:rPr>
        <w:t>Majburiyatlarning</w:t>
      </w:r>
      <w:proofErr w:type="spellEnd"/>
      <w:r w:rsidR="002F3551" w:rsidRPr="002F3551">
        <w:rPr>
          <w:rFonts w:ascii="Times New Roman" w:hAnsi="Times New Roman" w:cs="Times New Roman"/>
          <w:b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</w:rPr>
        <w:t>bajarilmaslik</w:t>
      </w:r>
      <w:proofErr w:type="spellEnd"/>
      <w:r w:rsidR="002F3551" w:rsidRPr="002F3551">
        <w:rPr>
          <w:rFonts w:ascii="Times New Roman" w:hAnsi="Times New Roman" w:cs="Times New Roman"/>
          <w:b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</w:rPr>
        <w:t>holatlari</w:t>
      </w:r>
      <w:proofErr w:type="spellEnd"/>
    </w:p>
    <w:p w14:paraId="50386371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51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bandda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qayd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etilgan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hodisalar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bajarilmasligi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holatlari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hisoblanadi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: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hisoblangan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foizlar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to‘lovlar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to‘lovlar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jadvali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shuningdek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sanada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oshirmasligi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Bankni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ataylab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haqqoniy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bo‘lmagan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hujjatlar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etgan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chalg‘itish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ta’minoti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berilgan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istalgan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ta’minot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turining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qisman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to‘liq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o‘z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qiymatini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yo‘qotganligi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ularga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mulk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huquqining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haqiqiy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deb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topilganligi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Kafilning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to‘lov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qobiliyatining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yomonlashganligi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bajarilmasligiga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olib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keladigan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aniq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ma’lumotlarning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yashirilganligi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</w:r>
      <w:r w:rsidRPr="002F3551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shartlari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nazarda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tutilgan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lozim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darajada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bajarilmaganligi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bog‘liq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shartlarining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garov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kafillik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h.k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buzilishi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.</w:t>
      </w:r>
    </w:p>
    <w:p w14:paraId="36E37066" w14:textId="2A8F3587" w:rsidR="00412704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F3551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o‘z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zimmasiga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bajarmaslik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holati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yuzaga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kelgan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taqdirda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o‘z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xohishiga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ko‘ra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quyidagi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harakatlardan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birini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oshirishi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: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bajarmaslik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holati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yuzaga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kelganligi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bartaraf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etish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muddatni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belgilagan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yozma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bildirishnoma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e’tiroz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xati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yuborish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mazkur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bajarmaslik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holatlari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yuzaga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kelganda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banklardagi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barcha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hisobvaraqlaridan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depozit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kartasi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h.k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roziligini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olmagan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akseptsiz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tarzda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mavjud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qarzdorlikni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qoplashga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yetadigan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pul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mablag‘larini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yechib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majburiyatlarning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bajarilishini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qo‘shimcha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ravishda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ta’minlanishini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talab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5.1-bandida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ko‘rsatilgan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holatlar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yuz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oluvchidan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mikroqarzning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hammasini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uning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qismini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tartibda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muddatidan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oldin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qaytarishni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talab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;</w:t>
      </w:r>
      <w:r w:rsidRPr="002F355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barcha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qarzdorliklarni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ta’minoti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yuzasidan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tuzilgan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shartnomalarda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garov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kafillik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h.k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belgilangan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tartibda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undiruvni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ta’minotga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qaratgan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holda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</w:rPr>
        <w:t>undirish</w:t>
      </w:r>
      <w:proofErr w:type="spellEnd"/>
      <w:r w:rsidRPr="002F3551">
        <w:rPr>
          <w:rFonts w:ascii="Times New Roman" w:hAnsi="Times New Roman" w:cs="Times New Roman"/>
          <w:sz w:val="24"/>
          <w:szCs w:val="24"/>
        </w:rPr>
        <w:t>.</w:t>
      </w:r>
    </w:p>
    <w:p w14:paraId="38DDB2EA" w14:textId="179F66B4" w:rsidR="00DD46D7" w:rsidRPr="00F20C7D" w:rsidRDefault="00BF043F" w:rsidP="00F20C7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6</w:t>
      </w:r>
      <w:r w:rsidR="00DD46D7" w:rsidRPr="00F20C7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 w:rsidR="002F3551" w:rsidRPr="002F3551">
        <w:rPr>
          <w:rFonts w:ascii="Times New Roman" w:hAnsi="Times New Roman" w:cs="Times New Roman"/>
          <w:b/>
          <w:sz w:val="24"/>
          <w:szCs w:val="24"/>
          <w:lang w:val="uz-Cyrl-UZ"/>
        </w:rPr>
        <w:t>Tomonlarning javobgarligi</w:t>
      </w:r>
    </w:p>
    <w:p w14:paraId="30C3529F" w14:textId="1CC648E0" w:rsidR="00BF043F" w:rsidRPr="002F3551" w:rsidRDefault="002F3551" w:rsidP="00F20C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F3551">
        <w:rPr>
          <w:rFonts w:ascii="Times New Roman" w:hAnsi="Times New Roman" w:cs="Times New Roman"/>
          <w:sz w:val="24"/>
          <w:szCs w:val="24"/>
          <w:lang w:val="uz-Cyrl-UZ"/>
        </w:rPr>
        <w:t>6.1. Tomonlarning ushbu shartnomada ko‘zda tutilgan majburiyatlarni bajarishdan bosh tortishi ushbu shartnoma shartlari va O‘zbekiston Respublikasining amaldagi qonunchiligiga muvofiq javobgarlikka tortiladi.</w:t>
      </w:r>
    </w:p>
    <w:p w14:paraId="4DFF9700" w14:textId="4B46BD45" w:rsidR="00412704" w:rsidRDefault="00412704" w:rsidP="0073585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7. </w:t>
      </w:r>
      <w:r w:rsidR="002F3551" w:rsidRPr="002F3551">
        <w:rPr>
          <w:rFonts w:ascii="Times New Roman" w:hAnsi="Times New Roman" w:cs="Times New Roman"/>
          <w:b/>
          <w:sz w:val="24"/>
          <w:szCs w:val="24"/>
          <w:lang w:val="uz-Cyrl-UZ"/>
        </w:rPr>
        <w:t>Mikroqarz ta’minoti bo‘yicha talablar</w:t>
      </w:r>
    </w:p>
    <w:p w14:paraId="1D262CD0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F3551">
        <w:rPr>
          <w:rFonts w:ascii="Times New Roman" w:hAnsi="Times New Roman" w:cs="Times New Roman"/>
          <w:sz w:val="24"/>
          <w:szCs w:val="24"/>
          <w:lang w:val="uz-Cyrl-UZ"/>
        </w:rPr>
        <w:t>7.1. Ushbu shartnoma bo‘yicha berilgan mikroqarz quyidagilar bilan ta’minlanadi:</w:t>
      </w:r>
    </w:p>
    <w:p w14:paraId="5C91DF9C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F3551">
        <w:rPr>
          <w:rFonts w:ascii="Times New Roman" w:hAnsi="Times New Roman" w:cs="Times New Roman"/>
          <w:sz w:val="24"/>
          <w:szCs w:val="24"/>
          <w:lang w:val="uz-Cyrl-UZ"/>
        </w:rPr>
        <w:t>7.1.1. Bank va _________________________________________________________ sug‘urta kompaniyasi o‘rtasida 202___ yil “____” _________da tuzilgan _____-sonli mikroqarz qaytmasligini sug‘urtalash yuzasidan sug‘urta shartnomasi bo‘yicha sug‘urta polisi;</w:t>
      </w:r>
    </w:p>
    <w:p w14:paraId="633C386A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7.1.2. Bank,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rtasida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202_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F35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 w:rsidRPr="002F355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 __________ (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__________)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miqdorga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tuzilgan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________-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sonli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kafillik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4D250F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>7.1.3. ___________________________________________________________________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Pr="002F3551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qo‘shimcha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ta’minot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qilinganda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to‘ldiriladi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936F2A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7.2.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qaytarilishining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shimcha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ta’minotini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1C795F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7.3.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ta’minlanishini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belgilovchi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bitim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zaro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bajarilishini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ta’minlashga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69068E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7.4.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qaytaruvchanligini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rasmiylashtirish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xarajatlarni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zimmasiga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58CC83" w14:textId="0CAE7E0B" w:rsidR="00BE6958" w:rsidRPr="002F3551" w:rsidRDefault="00BE6958" w:rsidP="00BE6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CFBFA5" w14:textId="648999BF" w:rsidR="00DD46D7" w:rsidRPr="00735854" w:rsidRDefault="00D51547" w:rsidP="0073585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>8</w:t>
      </w:r>
      <w:r w:rsidR="00BF043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Shaxsga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doir</w:t>
      </w:r>
      <w:proofErr w:type="spellEnd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3551" w:rsidRPr="002F3551">
        <w:rPr>
          <w:rFonts w:ascii="Times New Roman" w:hAnsi="Times New Roman" w:cs="Times New Roman"/>
          <w:b/>
          <w:sz w:val="24"/>
          <w:szCs w:val="24"/>
          <w:lang w:val="en-US"/>
        </w:rPr>
        <w:t>ma’lumotlar</w:t>
      </w:r>
      <w:proofErr w:type="spellEnd"/>
    </w:p>
    <w:p w14:paraId="5E0AC0B5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8.1.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imzolash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berishga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roziligini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8FD22B" w14:textId="77777777" w:rsidR="002F3551" w:rsidRPr="002F3551" w:rsidRDefault="002F3551" w:rsidP="002F3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8.2.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maqsadlarda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berishi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7EA378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ijro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252295B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oshirilishini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ta’minlashda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5095E27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risidagi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axborotini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36DCCB2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Bankka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resurslarini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jalb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resurslar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hisobidan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oshirilgan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taqdirda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14:paraId="765289EC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ta’minotiga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bitimlarni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rasmiylashtirish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notarius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sug‘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urta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kompaniyalari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garov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reyestri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kadastr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idoralariga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murojaat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57822AF4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muayyan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xizmatining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samaradorligini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marketing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izlanishlarini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tkazish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tahliliy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umumlashtirishda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7B6B52C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boshqaruv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auditor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potensial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investorlar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moliyaviy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holatiga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hisobotlarni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tayyorlashda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77512D5A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haqidagi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verifikatsiya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firibgarlik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holatlariga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yilmasligi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jinoiy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faoliyatdan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daromadlarni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legallashtirishga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terrorizmni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moliyalashtirishga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qirg‘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qurollarini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tarqatishni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moliyalashtirishga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kurashish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045C3C5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idoralari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qarzdorliklarini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undirish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murojaat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F74099A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xizmatlarini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taklif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71A112CA" w14:textId="77777777" w:rsidR="002F3551" w:rsidRPr="002F3551" w:rsidRDefault="002F3551" w:rsidP="002F355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yuqoridagi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maqsadlarni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aks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etgan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hujjatlarni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ma’lumot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almashinish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aloqa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pochta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xizmati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F3551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2F3551">
        <w:rPr>
          <w:rFonts w:ascii="Times New Roman" w:hAnsi="Times New Roman" w:cs="Times New Roman"/>
          <w:sz w:val="24"/>
          <w:szCs w:val="24"/>
          <w:lang w:val="en-US"/>
        </w:rPr>
        <w:t>rsatuvchi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tashkilotlarga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almashinish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dasturlari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bazalariga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551">
        <w:rPr>
          <w:rFonts w:ascii="Times New Roman" w:hAnsi="Times New Roman" w:cs="Times New Roman"/>
          <w:sz w:val="24"/>
          <w:szCs w:val="24"/>
          <w:lang w:val="en-US"/>
        </w:rPr>
        <w:t>joylashtirishda</w:t>
      </w:r>
      <w:proofErr w:type="spellEnd"/>
      <w:r w:rsidRPr="002F3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AA2A15" w14:textId="3701E068" w:rsidR="00BF043F" w:rsidRPr="002F3551" w:rsidRDefault="00BF043F" w:rsidP="00BF04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D5B051" w14:textId="260217B1" w:rsidR="00412704" w:rsidRPr="002F3551" w:rsidRDefault="00D51547" w:rsidP="002F3551">
      <w:pPr>
        <w:spacing w:after="0" w:line="276" w:lineRule="auto"/>
        <w:ind w:firstLine="709"/>
        <w:jc w:val="center"/>
        <w:rPr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9</w:t>
      </w:r>
      <w:r w:rsidR="004127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proofErr w:type="spellStart"/>
      <w:r w:rsidR="002F3551" w:rsidRPr="003A1C16">
        <w:rPr>
          <w:rFonts w:ascii="Times New Roman" w:hAnsi="Times New Roman" w:cs="Times New Roman"/>
          <w:b/>
          <w:lang w:val="en-US"/>
        </w:rPr>
        <w:t>Korrupsiyaga</w:t>
      </w:r>
      <w:proofErr w:type="spellEnd"/>
      <w:r w:rsidR="002F3551" w:rsidRPr="003A1C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F3551" w:rsidRPr="003A1C16">
        <w:rPr>
          <w:rFonts w:ascii="Times New Roman" w:hAnsi="Times New Roman" w:cs="Times New Roman"/>
          <w:b/>
          <w:lang w:val="en-US"/>
        </w:rPr>
        <w:t>qarshi</w:t>
      </w:r>
      <w:proofErr w:type="spellEnd"/>
      <w:r w:rsidR="002F3551" w:rsidRPr="003A1C1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F3551" w:rsidRPr="003A1C16">
        <w:rPr>
          <w:rFonts w:ascii="Times New Roman" w:hAnsi="Times New Roman" w:cs="Times New Roman"/>
          <w:b/>
          <w:lang w:val="en-US"/>
        </w:rPr>
        <w:t>shartlar</w:t>
      </w:r>
      <w:proofErr w:type="spellEnd"/>
    </w:p>
    <w:p w14:paraId="621A179F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9.1.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bajarayotganda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korrupsion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harakatlarni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to‘liq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taqiqlash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shaklda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yordam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bevosita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bilvosita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mablag‘lari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qimmatbaho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buyumlar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mol-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mulk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mulkiy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xarakterdagi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xizmatlar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mulkiy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huquqlarni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muayyan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masalalarni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tezroq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tartib-qoidalarni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soddalashtirish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raqobat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afzalliklarni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ta’minlashni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to‘liq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rad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amaldagi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qonunchilik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chiqilgan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korrupsiyaga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kurashishga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qaratilgan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siyosat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tartib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(agar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lsa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talablariga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qiladilar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0914BE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9.2.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chog‘ida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ijroiya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organi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mansabdor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shaxslari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xodimlari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biron-bir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shaxslar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tijorat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tashkilotlari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mansabdor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shaxslari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korrupsion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to‘lovlarni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etishni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taklif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qilmasligini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etmasligini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rozilik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bermasligini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shaxsdan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to‘g‘ridan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to‘g‘ri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bilvosita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korrupsion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to‘lovlarni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olishga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rozi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bo‘lmasliklarini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kafolatlaydi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6D78AA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9.3.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limning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biron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buzilgan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taqdirda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bunday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buzilish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sodir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kundan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5 (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xabardor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. Taraf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xabarnomada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limning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qoidalari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lastRenderedPageBreak/>
        <w:t>buzilganligini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tasdiqlovchi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ishonchli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faktlar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materiallarni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1C16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xabarnomalar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“Garant bank”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AJning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ishonch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telefonlari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BB0213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9.4.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lim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qoidalari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buzilganligi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fakti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tasdiqlanganda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qoidabuzarliklarni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rib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xabarnoma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natijalari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yuzasidan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ma’lumot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qilmagan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taqdirda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qisman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haqli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4B7774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9.5.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korrupsiyaga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shartlarga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asoslanib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bunday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yetkazilgan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haqiqiy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zararni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haqli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Zararlarni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qoplash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tasdiqlangan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dalolatnomada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F80F82" w14:textId="2691F921" w:rsidR="00DD46D7" w:rsidRPr="00F20C7D" w:rsidRDefault="00D51547" w:rsidP="00F20C7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10</w:t>
      </w:r>
      <w:r w:rsidR="00DD46D7" w:rsidRPr="00F20C7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>Fors-major</w:t>
      </w:r>
    </w:p>
    <w:p w14:paraId="665404BE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10.1.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Yengib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lmas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kuch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fors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-major)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holatlari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ofatlar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epidemiyalar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toshqinlari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taraflarining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ostida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lmagan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hodisalar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bajarmaganligi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bajarmaganliklari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javobgarlikdan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ozod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46CE81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bajarishga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fors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-major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holatlari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sqinlik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bunday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holatlar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kelganligi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risida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10 (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xabardor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qilmasa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holatlarni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fors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-major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havola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huquqidan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mahrum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6D10C3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Yengib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lmas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kuch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holatlarini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isbotlash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3A1C16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bajarmagan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yuklanadi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17CA9F" w14:textId="5B465F2B" w:rsidR="00DD46D7" w:rsidRPr="00F20C7D" w:rsidRDefault="00D51547" w:rsidP="00F20C7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11</w:t>
      </w:r>
      <w:r w:rsidR="00DD46D7" w:rsidRPr="00F20C7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proofErr w:type="spellStart"/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>Shartnomaning</w:t>
      </w:r>
      <w:proofErr w:type="spellEnd"/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>amal</w:t>
      </w:r>
      <w:proofErr w:type="spellEnd"/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>qilish</w:t>
      </w:r>
      <w:proofErr w:type="spellEnd"/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A1C16" w:rsidRPr="003A1C16">
        <w:rPr>
          <w:rFonts w:ascii="Times New Roman" w:hAnsi="Times New Roman" w:cs="Times New Roman"/>
          <w:b/>
          <w:sz w:val="24"/>
          <w:szCs w:val="24"/>
          <w:lang w:val="en-US"/>
        </w:rPr>
        <w:t>shartlari</w:t>
      </w:r>
      <w:proofErr w:type="spellEnd"/>
    </w:p>
    <w:p w14:paraId="2DBF8F30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11.1.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imzolangan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kundan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kuchga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mikroqarzni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foizlarini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to‘laguncha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zimmasiga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bajarilguncha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E4ED7F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11.2. Bank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mikroqarz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bajarishgacha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birining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yozma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arizasi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qilinishi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77D86E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11.3.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shartlarining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o‘zgarishi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taraflarning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o‘zaro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kelishuvi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qo‘shimcha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kelishuv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rasmiylashtiriladi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. Agar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qo‘shimcha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kelishuv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vakolatli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vakilining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ishtirokisiz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tuzilgan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bo‘lsa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unda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muhri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bo‘lmasa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kuchga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bo‘lmaydi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B6F61D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11.4.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doirasida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Qarz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oluvchi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Bankga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shaxsiga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qonunchilikka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maqsadlarda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huquqini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0C7DA5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11.5.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nizolar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avvalo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kelishuv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yo‘li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. Agar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kelishuvga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erishilmasa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buzilgan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hisoblaydigan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talabnoma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yuboradi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Talabnoma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kundan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javob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berishga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majburdir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Kelishuvga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erishilmagan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nizolar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filialining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joylashgan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hududidagi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fuqarolik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ishlari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sudda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ko‘rib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chiqiladi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3CE4E0" w14:textId="77777777" w:rsidR="003A1C16" w:rsidRPr="003A1C16" w:rsidRDefault="003A1C16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11.6.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xil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kuchga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ikkita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nusxada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tuzilgan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bo‘lib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tarafga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bittadan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C16">
        <w:rPr>
          <w:rFonts w:ascii="Times New Roman" w:hAnsi="Times New Roman" w:cs="Times New Roman"/>
          <w:sz w:val="24"/>
          <w:szCs w:val="24"/>
          <w:lang w:val="en-US"/>
        </w:rPr>
        <w:t>beriladi</w:t>
      </w:r>
      <w:proofErr w:type="spellEnd"/>
      <w:r w:rsidRPr="003A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5425AF" w14:textId="176CF2DA" w:rsidR="0055115F" w:rsidRPr="003A1C16" w:rsidRDefault="0055115F" w:rsidP="003A1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5115F" w:rsidRPr="003A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F0CD2"/>
    <w:multiLevelType w:val="multilevel"/>
    <w:tmpl w:val="F944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7198E"/>
    <w:multiLevelType w:val="singleLevel"/>
    <w:tmpl w:val="0F8831B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1D12AF0"/>
    <w:multiLevelType w:val="multilevel"/>
    <w:tmpl w:val="E0D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497755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 w16cid:durableId="1797095066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 w16cid:durableId="1110468364">
    <w:abstractNumId w:val="0"/>
  </w:num>
  <w:num w:numId="4" w16cid:durableId="117310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D4"/>
    <w:rsid w:val="00016113"/>
    <w:rsid w:val="00046B0E"/>
    <w:rsid w:val="00065EF5"/>
    <w:rsid w:val="00084E72"/>
    <w:rsid w:val="0009111A"/>
    <w:rsid w:val="001240FE"/>
    <w:rsid w:val="00133649"/>
    <w:rsid w:val="00145EC4"/>
    <w:rsid w:val="00166A8A"/>
    <w:rsid w:val="00166CE4"/>
    <w:rsid w:val="001A469D"/>
    <w:rsid w:val="001E0149"/>
    <w:rsid w:val="001F14DE"/>
    <w:rsid w:val="002868CB"/>
    <w:rsid w:val="002A768D"/>
    <w:rsid w:val="002B179C"/>
    <w:rsid w:val="002B6F7A"/>
    <w:rsid w:val="002D5980"/>
    <w:rsid w:val="002F3551"/>
    <w:rsid w:val="003A1C16"/>
    <w:rsid w:val="003D1C36"/>
    <w:rsid w:val="00412704"/>
    <w:rsid w:val="0043272A"/>
    <w:rsid w:val="004835CD"/>
    <w:rsid w:val="00495BDA"/>
    <w:rsid w:val="004A4CF3"/>
    <w:rsid w:val="004B54D9"/>
    <w:rsid w:val="004E115C"/>
    <w:rsid w:val="004F610E"/>
    <w:rsid w:val="00533E3E"/>
    <w:rsid w:val="005462EC"/>
    <w:rsid w:val="00550589"/>
    <w:rsid w:val="0055115F"/>
    <w:rsid w:val="0055140A"/>
    <w:rsid w:val="00551F0F"/>
    <w:rsid w:val="00563DCA"/>
    <w:rsid w:val="00583FAA"/>
    <w:rsid w:val="00586836"/>
    <w:rsid w:val="005D6C67"/>
    <w:rsid w:val="00603BFC"/>
    <w:rsid w:val="00671CA2"/>
    <w:rsid w:val="006775BF"/>
    <w:rsid w:val="00680947"/>
    <w:rsid w:val="00686A7D"/>
    <w:rsid w:val="0069577F"/>
    <w:rsid w:val="006E6149"/>
    <w:rsid w:val="00721688"/>
    <w:rsid w:val="0072719A"/>
    <w:rsid w:val="00735854"/>
    <w:rsid w:val="007A3E77"/>
    <w:rsid w:val="007B6D66"/>
    <w:rsid w:val="007E7815"/>
    <w:rsid w:val="008237C8"/>
    <w:rsid w:val="00835329"/>
    <w:rsid w:val="008609BD"/>
    <w:rsid w:val="0086556E"/>
    <w:rsid w:val="009C27D8"/>
    <w:rsid w:val="00A0107E"/>
    <w:rsid w:val="00A4428F"/>
    <w:rsid w:val="00AA6318"/>
    <w:rsid w:val="00AF4836"/>
    <w:rsid w:val="00B1568A"/>
    <w:rsid w:val="00BC42B4"/>
    <w:rsid w:val="00BC54D4"/>
    <w:rsid w:val="00BC67AC"/>
    <w:rsid w:val="00BC790E"/>
    <w:rsid w:val="00BE29AC"/>
    <w:rsid w:val="00BE6958"/>
    <w:rsid w:val="00BF043F"/>
    <w:rsid w:val="00BF5ED0"/>
    <w:rsid w:val="00BF6A13"/>
    <w:rsid w:val="00C07A15"/>
    <w:rsid w:val="00C16F69"/>
    <w:rsid w:val="00C37943"/>
    <w:rsid w:val="00C41EC8"/>
    <w:rsid w:val="00C64898"/>
    <w:rsid w:val="00C87A4C"/>
    <w:rsid w:val="00C942A9"/>
    <w:rsid w:val="00CA007D"/>
    <w:rsid w:val="00CB3C61"/>
    <w:rsid w:val="00CC410C"/>
    <w:rsid w:val="00D42FEA"/>
    <w:rsid w:val="00D51547"/>
    <w:rsid w:val="00D57841"/>
    <w:rsid w:val="00D839A6"/>
    <w:rsid w:val="00D855DE"/>
    <w:rsid w:val="00D90A0C"/>
    <w:rsid w:val="00D93945"/>
    <w:rsid w:val="00DB7AEC"/>
    <w:rsid w:val="00DD46D7"/>
    <w:rsid w:val="00DE338C"/>
    <w:rsid w:val="00E03971"/>
    <w:rsid w:val="00E30029"/>
    <w:rsid w:val="00E337D1"/>
    <w:rsid w:val="00E373E6"/>
    <w:rsid w:val="00EB1C40"/>
    <w:rsid w:val="00EC2BF3"/>
    <w:rsid w:val="00EF5AE4"/>
    <w:rsid w:val="00F00B7A"/>
    <w:rsid w:val="00F1513D"/>
    <w:rsid w:val="00F20C7D"/>
    <w:rsid w:val="00F223BF"/>
    <w:rsid w:val="00F401DE"/>
    <w:rsid w:val="00F67714"/>
    <w:rsid w:val="00F768D7"/>
    <w:rsid w:val="00F76B84"/>
    <w:rsid w:val="00F9245B"/>
    <w:rsid w:val="00F951A0"/>
    <w:rsid w:val="00FA04CE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BA4B"/>
  <w15:chartTrackingRefBased/>
  <w15:docId w15:val="{10E6A87E-2845-48C9-B25D-1E37F3F0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768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0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768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5">
    <w:name w:val="Body Text Indent"/>
    <w:basedOn w:val="a"/>
    <w:link w:val="a6"/>
    <w:rsid w:val="002A768D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A76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C87A4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87A4C"/>
  </w:style>
  <w:style w:type="paragraph" w:styleId="a9">
    <w:name w:val="List Paragraph"/>
    <w:basedOn w:val="a"/>
    <w:uiPriority w:val="34"/>
    <w:qFormat/>
    <w:rsid w:val="00C87A4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3BFC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271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271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271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71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2719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35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Abdumalik To'laganov</cp:lastModifiedBy>
  <cp:revision>2</cp:revision>
  <cp:lastPrinted>2023-07-07T09:59:00Z</cp:lastPrinted>
  <dcterms:created xsi:type="dcterms:W3CDTF">2026-04-08T10:09:00Z</dcterms:created>
  <dcterms:modified xsi:type="dcterms:W3CDTF">2026-04-08T10:09:00Z</dcterms:modified>
</cp:coreProperties>
</file>