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1CA7" w14:textId="77777777" w:rsidR="000F1725" w:rsidRPr="000F1725" w:rsidRDefault="000F1725" w:rsidP="000F1725">
      <w:pPr>
        <w:pStyle w:val="af0"/>
        <w:jc w:val="center"/>
        <w:rPr>
          <w:b/>
          <w:bCs/>
          <w:sz w:val="24"/>
          <w:szCs w:val="24"/>
          <w:lang w:val="en-US" w:eastAsia="ru-RU"/>
        </w:rPr>
      </w:pPr>
      <w:r w:rsidRPr="000F1725">
        <w:rPr>
          <w:b/>
          <w:bCs/>
          <w:sz w:val="24"/>
          <w:szCs w:val="24"/>
          <w:lang w:val="en-US" w:eastAsia="ru-RU"/>
        </w:rPr>
        <w:t>PUBLIC OFFER</w:t>
      </w:r>
    </w:p>
    <w:p w14:paraId="27EDF13C" w14:textId="47C967B0" w:rsidR="000F1725" w:rsidRPr="000F1725" w:rsidRDefault="000F1725" w:rsidP="000F1725">
      <w:pPr>
        <w:pStyle w:val="af0"/>
        <w:jc w:val="center"/>
        <w:rPr>
          <w:b/>
          <w:bCs/>
          <w:kern w:val="0"/>
          <w:sz w:val="24"/>
          <w:szCs w:val="24"/>
          <w:lang w:val="en-US" w:eastAsia="ru-RU"/>
        </w:rPr>
      </w:pPr>
      <w:r w:rsidRPr="000F1725">
        <w:rPr>
          <w:kern w:val="0"/>
          <w:sz w:val="24"/>
          <w:szCs w:val="24"/>
          <w:lang w:val="en-US" w:eastAsia="ru-RU"/>
        </w:rPr>
        <w:t xml:space="preserve">for the </w:t>
      </w:r>
      <w:r w:rsidRPr="000F1725">
        <w:rPr>
          <w:kern w:val="0"/>
          <w:sz w:val="24"/>
          <w:szCs w:val="24"/>
          <w:lang w:val="en-US" w:eastAsia="ru-RU"/>
        </w:rPr>
        <w:t>p</w:t>
      </w:r>
      <w:r w:rsidRPr="000F1725">
        <w:rPr>
          <w:kern w:val="0"/>
          <w:sz w:val="24"/>
          <w:szCs w:val="24"/>
          <w:lang w:val="en-US" w:eastAsia="ru-RU"/>
        </w:rPr>
        <w:t>romotion</w:t>
      </w:r>
      <w:r w:rsidRPr="000F1725">
        <w:rPr>
          <w:kern w:val="0"/>
          <w:sz w:val="24"/>
          <w:szCs w:val="24"/>
          <w:lang w:val="en-US" w:eastAsia="ru-RU"/>
        </w:rPr>
        <w:br/>
      </w:r>
      <w:r w:rsidRPr="000F1725">
        <w:rPr>
          <w:b/>
          <w:bCs/>
          <w:kern w:val="0"/>
          <w:sz w:val="24"/>
          <w:szCs w:val="24"/>
          <w:lang w:val="en-US" w:eastAsia="ru-RU"/>
        </w:rPr>
        <w:t>“HUMO Fuel Card”</w:t>
      </w:r>
    </w:p>
    <w:p w14:paraId="019652C5" w14:textId="77777777" w:rsidR="000F1725" w:rsidRPr="000F1725" w:rsidRDefault="000F1725" w:rsidP="000F1725">
      <w:pPr>
        <w:pStyle w:val="af0"/>
        <w:jc w:val="center"/>
        <w:rPr>
          <w:b/>
          <w:bCs/>
          <w:kern w:val="0"/>
          <w:sz w:val="24"/>
          <w:szCs w:val="24"/>
          <w:lang w:val="en-US" w:eastAsia="ru-RU"/>
        </w:rPr>
      </w:pPr>
    </w:p>
    <w:p w14:paraId="6E4C57F8" w14:textId="5A25EE43"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This Public Offer (the </w:t>
      </w:r>
      <w:r w:rsidRPr="000F1725">
        <w:rPr>
          <w:rFonts w:eastAsia="Times New Roman" w:cs="Times New Roman"/>
          <w:b/>
          <w:bCs/>
          <w:kern w:val="0"/>
          <w:sz w:val="24"/>
          <w:szCs w:val="24"/>
          <w:lang w:val="en-US" w:eastAsia="ru-RU"/>
          <w14:ligatures w14:val="none"/>
        </w:rPr>
        <w:t>“Offer”</w:t>
      </w:r>
      <w:r w:rsidRPr="000F1725">
        <w:rPr>
          <w:rFonts w:eastAsia="Times New Roman" w:cs="Times New Roman"/>
          <w:kern w:val="0"/>
          <w:sz w:val="24"/>
          <w:szCs w:val="24"/>
          <w:lang w:val="en-US" w:eastAsia="ru-RU"/>
          <w14:ligatures w14:val="none"/>
        </w:rPr>
        <w:t xml:space="preserve">) outlines the terms and conditions for participating in the </w:t>
      </w:r>
      <w:r w:rsidRPr="000F1725">
        <w:rPr>
          <w:rFonts w:eastAsia="Times New Roman" w:cs="Times New Roman"/>
          <w:b/>
          <w:bCs/>
          <w:kern w:val="0"/>
          <w:sz w:val="24"/>
          <w:szCs w:val="24"/>
          <w:lang w:val="en-US" w:eastAsia="ru-RU"/>
          <w14:ligatures w14:val="none"/>
        </w:rPr>
        <w:t>“HUMO Fuel Card”</w:t>
      </w:r>
      <w:r w:rsidRPr="000F1725">
        <w:rPr>
          <w:rFonts w:eastAsia="Times New Roman" w:cs="Times New Roman"/>
          <w:kern w:val="0"/>
          <w:sz w:val="24"/>
          <w:szCs w:val="24"/>
          <w:lang w:val="en-US" w:eastAsia="ru-RU"/>
          <w14:ligatures w14:val="none"/>
        </w:rPr>
        <w:t xml:space="preserve"> promotion (the </w:t>
      </w:r>
      <w:r w:rsidRPr="000F1725">
        <w:rPr>
          <w:rFonts w:eastAsia="Times New Roman" w:cs="Times New Roman"/>
          <w:b/>
          <w:bCs/>
          <w:kern w:val="0"/>
          <w:sz w:val="24"/>
          <w:szCs w:val="24"/>
          <w:lang w:val="en-US" w:eastAsia="ru-RU"/>
          <w14:ligatures w14:val="none"/>
        </w:rPr>
        <w:t>“Promotion”</w:t>
      </w:r>
      <w:r w:rsidRPr="000F1725">
        <w:rPr>
          <w:rFonts w:eastAsia="Times New Roman" w:cs="Times New Roman"/>
          <w:kern w:val="0"/>
          <w:sz w:val="24"/>
          <w:szCs w:val="24"/>
          <w:lang w:val="en-US" w:eastAsia="ru-RU"/>
          <w14:ligatures w14:val="none"/>
        </w:rPr>
        <w:t xml:space="preserve">), organized by </w:t>
      </w:r>
      <w:r w:rsidRPr="000F1725">
        <w:rPr>
          <w:rFonts w:eastAsia="Times New Roman" w:cs="Times New Roman"/>
          <w:b/>
          <w:bCs/>
          <w:kern w:val="0"/>
          <w:sz w:val="24"/>
          <w:szCs w:val="24"/>
          <w:lang w:val="en-US" w:eastAsia="ru-RU"/>
          <w14:ligatures w14:val="none"/>
        </w:rPr>
        <w:t xml:space="preserve">JSC </w:t>
      </w:r>
      <w:r w:rsidRPr="000F1725">
        <w:rPr>
          <w:rFonts w:eastAsia="Times New Roman" w:cs="Times New Roman"/>
          <w:b/>
          <w:bCs/>
          <w:kern w:val="0"/>
          <w:sz w:val="24"/>
          <w:szCs w:val="24"/>
          <w:lang w:val="en-US" w:eastAsia="ru-RU"/>
          <w14:ligatures w14:val="none"/>
        </w:rPr>
        <w:t xml:space="preserve">Garant bank </w:t>
      </w:r>
      <w:r w:rsidRPr="000F1725">
        <w:rPr>
          <w:rFonts w:eastAsia="Times New Roman" w:cs="Times New Roman"/>
          <w:kern w:val="0"/>
          <w:sz w:val="24"/>
          <w:szCs w:val="24"/>
          <w:lang w:val="en-US" w:eastAsia="ru-RU"/>
          <w14:ligatures w14:val="none"/>
        </w:rPr>
        <w:t xml:space="preserve">(the </w:t>
      </w:r>
      <w:r w:rsidRPr="000F1725">
        <w:rPr>
          <w:rFonts w:eastAsia="Times New Roman" w:cs="Times New Roman"/>
          <w:b/>
          <w:bCs/>
          <w:kern w:val="0"/>
          <w:sz w:val="24"/>
          <w:szCs w:val="24"/>
          <w:lang w:val="en-US" w:eastAsia="ru-RU"/>
          <w14:ligatures w14:val="none"/>
        </w:rPr>
        <w:t>“Bank”</w:t>
      </w:r>
      <w:r w:rsidRPr="000F1725">
        <w:rPr>
          <w:rFonts w:eastAsia="Times New Roman" w:cs="Times New Roman"/>
          <w:kern w:val="0"/>
          <w:sz w:val="24"/>
          <w:szCs w:val="24"/>
          <w:lang w:val="en-US" w:eastAsia="ru-RU"/>
          <w14:ligatures w14:val="none"/>
        </w:rPr>
        <w:t xml:space="preserve">) and </w:t>
      </w:r>
      <w:r w:rsidRPr="000F1725">
        <w:rPr>
          <w:rFonts w:eastAsia="Times New Roman" w:cs="Times New Roman"/>
          <w:b/>
          <w:bCs/>
          <w:kern w:val="0"/>
          <w:sz w:val="24"/>
          <w:szCs w:val="24"/>
          <w:lang w:val="en-US" w:eastAsia="ru-RU"/>
          <w14:ligatures w14:val="none"/>
        </w:rPr>
        <w:t>JSC National Interbank Processing Center</w:t>
      </w:r>
      <w:r w:rsidRPr="000F1725">
        <w:rPr>
          <w:rFonts w:eastAsia="Times New Roman" w:cs="Times New Roman"/>
          <w:kern w:val="0"/>
          <w:sz w:val="24"/>
          <w:szCs w:val="24"/>
          <w:lang w:val="en-US" w:eastAsia="ru-RU"/>
          <w14:ligatures w14:val="none"/>
        </w:rPr>
        <w:t xml:space="preserve">, the operator of the national payment system </w:t>
      </w:r>
      <w:r w:rsidRPr="000F1725">
        <w:rPr>
          <w:rFonts w:eastAsia="Times New Roman" w:cs="Times New Roman"/>
          <w:b/>
          <w:bCs/>
          <w:kern w:val="0"/>
          <w:sz w:val="24"/>
          <w:szCs w:val="24"/>
          <w:lang w:val="en-US" w:eastAsia="ru-RU"/>
          <w14:ligatures w14:val="none"/>
        </w:rPr>
        <w:t>HUMO</w:t>
      </w:r>
      <w:r w:rsidRPr="000F1725">
        <w:rPr>
          <w:rFonts w:eastAsia="Times New Roman" w:cs="Times New Roman"/>
          <w:kern w:val="0"/>
          <w:sz w:val="24"/>
          <w:szCs w:val="24"/>
          <w:lang w:val="en-US" w:eastAsia="ru-RU"/>
          <w14:ligatures w14:val="none"/>
        </w:rPr>
        <w:t xml:space="preserve"> (the </w:t>
      </w:r>
      <w:r w:rsidRPr="000F1725">
        <w:rPr>
          <w:rFonts w:eastAsia="Times New Roman" w:cs="Times New Roman"/>
          <w:b/>
          <w:bCs/>
          <w:kern w:val="0"/>
          <w:sz w:val="24"/>
          <w:szCs w:val="24"/>
          <w:lang w:val="en-US" w:eastAsia="ru-RU"/>
          <w14:ligatures w14:val="none"/>
        </w:rPr>
        <w:t>“N</w:t>
      </w:r>
      <w:r w:rsidRPr="000F1725">
        <w:rPr>
          <w:rFonts w:eastAsia="Times New Roman" w:cs="Times New Roman"/>
          <w:b/>
          <w:bCs/>
          <w:kern w:val="0"/>
          <w:sz w:val="24"/>
          <w:szCs w:val="24"/>
          <w:lang w:val="en-US" w:eastAsia="ru-RU"/>
          <w14:ligatures w14:val="none"/>
        </w:rPr>
        <w:t>IPC</w:t>
      </w:r>
      <w:r w:rsidRPr="000F1725">
        <w:rPr>
          <w:rFonts w:eastAsia="Times New Roman" w:cs="Times New Roman"/>
          <w:b/>
          <w:bCs/>
          <w:kern w:val="0"/>
          <w:sz w:val="24"/>
          <w:szCs w:val="24"/>
          <w:lang w:val="en-US" w:eastAsia="ru-RU"/>
          <w14:ligatures w14:val="none"/>
        </w:rPr>
        <w:t>”</w:t>
      </w:r>
      <w:r w:rsidRPr="000F1725">
        <w:rPr>
          <w:rFonts w:eastAsia="Times New Roman" w:cs="Times New Roman"/>
          <w:kern w:val="0"/>
          <w:sz w:val="24"/>
          <w:szCs w:val="24"/>
          <w:lang w:val="en-US" w:eastAsia="ru-RU"/>
          <w14:ligatures w14:val="none"/>
        </w:rPr>
        <w:t xml:space="preserve"> or </w:t>
      </w:r>
      <w:r w:rsidRPr="000F1725">
        <w:rPr>
          <w:rFonts w:eastAsia="Times New Roman" w:cs="Times New Roman"/>
          <w:b/>
          <w:bCs/>
          <w:kern w:val="0"/>
          <w:sz w:val="24"/>
          <w:szCs w:val="24"/>
          <w:lang w:val="en-US" w:eastAsia="ru-RU"/>
          <w14:ligatures w14:val="none"/>
        </w:rPr>
        <w:t>“HUMO”</w:t>
      </w:r>
      <w:r w:rsidRPr="000F1725">
        <w:rPr>
          <w:rFonts w:eastAsia="Times New Roman" w:cs="Times New Roman"/>
          <w:kern w:val="0"/>
          <w:sz w:val="24"/>
          <w:szCs w:val="24"/>
          <w:lang w:val="en-US" w:eastAsia="ru-RU"/>
          <w14:ligatures w14:val="none"/>
        </w:rPr>
        <w:t>).</w:t>
      </w:r>
    </w:p>
    <w:p w14:paraId="01D7C8BF" w14:textId="77777777" w:rsid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This Offer is made to the general public and becomes binding once a participant fulfills the actions described below, in accordance with Articles 367–369 of the Civil Code of the Republic of Uzbekistan.</w:t>
      </w:r>
    </w:p>
    <w:p w14:paraId="270B9675"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15457864"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1. Overview</w:t>
      </w:r>
    </w:p>
    <w:p w14:paraId="2528604F"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1.1. This Promotion is designed to support the shift toward cashless fuel payments in line with the laws of the Republic of Uzbekistan, including Presidential Decree No. PF-246 dated December 10, 2025.</w:t>
      </w:r>
    </w:p>
    <w:p w14:paraId="19037139"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1.2. It provides customers with a convenient way to pay for fuel while encouraging the use of bank cards.</w:t>
      </w:r>
    </w:p>
    <w:p w14:paraId="341B45DD"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1.3. By participating in the Promotion, you fully and unconditionally agree to these terms.</w:t>
      </w:r>
    </w:p>
    <w:p w14:paraId="155404EE"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1.4. This Promotion is not a lottery or a game of chance. It is a marketing campaign intended to encourage customer engagement.</w:t>
      </w:r>
    </w:p>
    <w:p w14:paraId="534DE98A"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1.5. Accepting this Offer has the same legal effect as signing a written agreement.</w:t>
      </w:r>
    </w:p>
    <w:p w14:paraId="6F052D1F" w14:textId="77777777" w:rsidR="000F1725" w:rsidRPr="000F1725" w:rsidRDefault="000F1725" w:rsidP="000F1725">
      <w:pPr>
        <w:spacing w:after="0"/>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1.6. By accepting this Offer, you confirm that:</w:t>
      </w:r>
      <w:r w:rsidRPr="000F1725">
        <w:rPr>
          <w:rFonts w:eastAsia="Times New Roman" w:cs="Times New Roman"/>
          <w:kern w:val="0"/>
          <w:sz w:val="24"/>
          <w:szCs w:val="24"/>
          <w:lang w:val="en-US" w:eastAsia="ru-RU"/>
          <w14:ligatures w14:val="none"/>
        </w:rPr>
        <w:br/>
        <w:t>— you have read and understood these terms;</w:t>
      </w:r>
      <w:r w:rsidRPr="000F1725">
        <w:rPr>
          <w:rFonts w:eastAsia="Times New Roman" w:cs="Times New Roman"/>
          <w:kern w:val="0"/>
          <w:sz w:val="24"/>
          <w:szCs w:val="24"/>
          <w:lang w:val="en-US" w:eastAsia="ru-RU"/>
          <w14:ligatures w14:val="none"/>
        </w:rPr>
        <w:br/>
        <w:t>— you agree to comply with them;</w:t>
      </w:r>
      <w:r w:rsidRPr="000F1725">
        <w:rPr>
          <w:rFonts w:eastAsia="Times New Roman" w:cs="Times New Roman"/>
          <w:kern w:val="0"/>
          <w:sz w:val="24"/>
          <w:szCs w:val="24"/>
          <w:lang w:val="en-US" w:eastAsia="ru-RU"/>
          <w14:ligatures w14:val="none"/>
        </w:rPr>
        <w:br/>
        <w:t>— you have the legal capacity to enter into this agreement.</w:t>
      </w:r>
    </w:p>
    <w:p w14:paraId="2252325D" w14:textId="77777777" w:rsidR="000F1725" w:rsidRPr="000F1725" w:rsidRDefault="000F1725" w:rsidP="000F1725">
      <w:pPr>
        <w:spacing w:after="0"/>
        <w:rPr>
          <w:rFonts w:eastAsia="Times New Roman" w:cs="Times New Roman"/>
          <w:kern w:val="0"/>
          <w:sz w:val="24"/>
          <w:szCs w:val="24"/>
          <w:lang w:val="en-US" w:eastAsia="ru-RU"/>
          <w14:ligatures w14:val="none"/>
        </w:rPr>
      </w:pPr>
    </w:p>
    <w:p w14:paraId="1A6C8529"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2. Organizers</w:t>
      </w:r>
    </w:p>
    <w:p w14:paraId="503D44DE"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The Promotion is jointly organized by:</w:t>
      </w:r>
    </w:p>
    <w:p w14:paraId="5987E3B8" w14:textId="7C93F612" w:rsidR="000F1725" w:rsidRPr="000F1725" w:rsidRDefault="000F1725" w:rsidP="000F1725">
      <w:pPr>
        <w:spacing w:after="0"/>
        <w:rPr>
          <w:rFonts w:eastAsia="Times New Roman" w:cs="Times New Roman"/>
          <w:kern w:val="0"/>
          <w:sz w:val="24"/>
          <w:szCs w:val="24"/>
          <w:lang w:val="en-US" w:eastAsia="ru-RU"/>
          <w14:ligatures w14:val="none"/>
        </w:rPr>
      </w:pPr>
      <w:r w:rsidRPr="000F1725">
        <w:rPr>
          <w:rFonts w:eastAsia="Times New Roman" w:cs="Times New Roman"/>
          <w:b/>
          <w:bCs/>
          <w:kern w:val="0"/>
          <w:sz w:val="24"/>
          <w:szCs w:val="24"/>
          <w:lang w:val="en-US" w:eastAsia="ru-RU"/>
          <w14:ligatures w14:val="none"/>
        </w:rPr>
        <w:t>JSC National Interbank Processing Center</w:t>
      </w:r>
      <w:r w:rsidRPr="000F1725">
        <w:rPr>
          <w:rFonts w:eastAsia="Times New Roman" w:cs="Times New Roman"/>
          <w:kern w:val="0"/>
          <w:sz w:val="24"/>
          <w:szCs w:val="24"/>
          <w:lang w:val="en-US" w:eastAsia="ru-RU"/>
          <w14:ligatures w14:val="none"/>
        </w:rPr>
        <w:t xml:space="preserve"> </w:t>
      </w:r>
      <w:r w:rsidRPr="000F1725">
        <w:rPr>
          <w:rFonts w:eastAsia="Times New Roman" w:cs="Times New Roman"/>
          <w:kern w:val="0"/>
          <w:sz w:val="24"/>
          <w:szCs w:val="24"/>
          <w:lang w:val="en-US" w:eastAsia="ru-RU"/>
          <w14:ligatures w14:val="none"/>
        </w:rPr>
        <w:t>and</w:t>
      </w:r>
      <w:r w:rsidRPr="000F1725">
        <w:rPr>
          <w:rFonts w:eastAsia="Times New Roman" w:cs="Times New Roman"/>
          <w:kern w:val="0"/>
          <w:sz w:val="24"/>
          <w:szCs w:val="24"/>
          <w:lang w:val="en-US" w:eastAsia="ru-RU"/>
          <w14:ligatures w14:val="none"/>
        </w:rPr>
        <w:t xml:space="preserve"> </w:t>
      </w:r>
      <w:r w:rsidRPr="000F1725">
        <w:rPr>
          <w:rFonts w:eastAsia="Times New Roman" w:cs="Times New Roman"/>
          <w:b/>
          <w:bCs/>
          <w:kern w:val="0"/>
          <w:sz w:val="24"/>
          <w:szCs w:val="24"/>
          <w:lang w:val="en-US" w:eastAsia="ru-RU"/>
          <w14:ligatures w14:val="none"/>
        </w:rPr>
        <w:t xml:space="preserve">JSC </w:t>
      </w:r>
      <w:r w:rsidRPr="000F1725">
        <w:rPr>
          <w:rFonts w:eastAsia="Times New Roman" w:cs="Times New Roman"/>
          <w:b/>
          <w:bCs/>
          <w:kern w:val="0"/>
          <w:sz w:val="24"/>
          <w:szCs w:val="24"/>
          <w:lang w:val="en-US" w:eastAsia="ru-RU"/>
          <w14:ligatures w14:val="none"/>
        </w:rPr>
        <w:t xml:space="preserve">Garant bank </w:t>
      </w:r>
    </w:p>
    <w:p w14:paraId="4D37F956" w14:textId="12BC24C6"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Garant bank operates</w:t>
      </w:r>
      <w:r w:rsidRPr="000F1725">
        <w:rPr>
          <w:rFonts w:eastAsia="Times New Roman" w:cs="Times New Roman"/>
          <w:kern w:val="0"/>
          <w:sz w:val="24"/>
          <w:szCs w:val="24"/>
          <w:lang w:val="en-US" w:eastAsia="ru-RU"/>
          <w14:ligatures w14:val="none"/>
        </w:rPr>
        <w:t xml:space="preserve"> under License No. 42 issued by the Central Bank of the Republic of Uzbekistan on July 16, 2022.</w:t>
      </w:r>
    </w:p>
    <w:p w14:paraId="77653CDE"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The National Interbank Processing Center operates under License No. 2 issued on December 12, 2024.</w:t>
      </w:r>
    </w:p>
    <w:p w14:paraId="5BE21175"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1888F0C5"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3. Promotion Period</w:t>
      </w:r>
    </w:p>
    <w:p w14:paraId="58897AF4"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3.1. The Promotion runs from </w:t>
      </w:r>
      <w:r w:rsidRPr="000F1725">
        <w:rPr>
          <w:rFonts w:eastAsia="Times New Roman" w:cs="Times New Roman"/>
          <w:b/>
          <w:bCs/>
          <w:kern w:val="0"/>
          <w:sz w:val="24"/>
          <w:szCs w:val="24"/>
          <w:lang w:val="en-US" w:eastAsia="ru-RU"/>
          <w14:ligatures w14:val="none"/>
        </w:rPr>
        <w:t>April 1 through April 30, 2026 (inclusive)</w:t>
      </w:r>
      <w:r w:rsidRPr="000F1725">
        <w:rPr>
          <w:rFonts w:eastAsia="Times New Roman" w:cs="Times New Roman"/>
          <w:kern w:val="0"/>
          <w:sz w:val="24"/>
          <w:szCs w:val="24"/>
          <w:lang w:val="en-US" w:eastAsia="ru-RU"/>
          <w14:ligatures w14:val="none"/>
        </w:rPr>
        <w:t xml:space="preserve"> (the </w:t>
      </w:r>
      <w:r w:rsidRPr="000F1725">
        <w:rPr>
          <w:rFonts w:eastAsia="Times New Roman" w:cs="Times New Roman"/>
          <w:b/>
          <w:bCs/>
          <w:kern w:val="0"/>
          <w:sz w:val="24"/>
          <w:szCs w:val="24"/>
          <w:lang w:val="en-US" w:eastAsia="ru-RU"/>
          <w14:ligatures w14:val="none"/>
        </w:rPr>
        <w:t>“Promotion Period”</w:t>
      </w:r>
      <w:r w:rsidRPr="000F1725">
        <w:rPr>
          <w:rFonts w:eastAsia="Times New Roman" w:cs="Times New Roman"/>
          <w:kern w:val="0"/>
          <w:sz w:val="24"/>
          <w:szCs w:val="24"/>
          <w:lang w:val="en-US" w:eastAsia="ru-RU"/>
          <w14:ligatures w14:val="none"/>
        </w:rPr>
        <w:t>).</w:t>
      </w:r>
    </w:p>
    <w:p w14:paraId="2D3EB4C3" w14:textId="4C9947E2"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3.2. Only HUMO cards issued by </w:t>
      </w:r>
      <w:r w:rsidRPr="000F1725">
        <w:rPr>
          <w:rFonts w:eastAsia="Times New Roman" w:cs="Times New Roman"/>
          <w:kern w:val="0"/>
          <w:sz w:val="24"/>
          <w:szCs w:val="24"/>
          <w:lang w:val="en-US" w:eastAsia="ru-RU"/>
          <w14:ligatures w14:val="none"/>
        </w:rPr>
        <w:t>Garant bank during</w:t>
      </w:r>
      <w:r w:rsidRPr="000F1725">
        <w:rPr>
          <w:rFonts w:eastAsia="Times New Roman" w:cs="Times New Roman"/>
          <w:kern w:val="0"/>
          <w:sz w:val="24"/>
          <w:szCs w:val="24"/>
          <w:lang w:val="en-US" w:eastAsia="ru-RU"/>
          <w14:ligatures w14:val="none"/>
        </w:rPr>
        <w:t xml:space="preserve"> the Promotion Period are eligible. Transactions qualifying for the Promotion must also be completed within this period.</w:t>
      </w:r>
    </w:p>
    <w:p w14:paraId="59A979AD" w14:textId="3441C4C1"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3.3. The Promotion period may be extended at the discretion of HUMO and </w:t>
      </w:r>
      <w:r w:rsidRPr="000F1725">
        <w:rPr>
          <w:rFonts w:eastAsia="Times New Roman" w:cs="Times New Roman"/>
          <w:kern w:val="0"/>
          <w:sz w:val="24"/>
          <w:szCs w:val="24"/>
          <w:lang w:val="en-US" w:eastAsia="ru-RU"/>
          <w14:ligatures w14:val="none"/>
        </w:rPr>
        <w:t>Garant bank.</w:t>
      </w:r>
      <w:r w:rsidRPr="000F1725">
        <w:rPr>
          <w:rFonts w:eastAsia="Times New Roman" w:cs="Times New Roman"/>
          <w:kern w:val="0"/>
          <w:sz w:val="24"/>
          <w:szCs w:val="24"/>
          <w:lang w:val="en-US" w:eastAsia="ru-RU"/>
          <w14:ligatures w14:val="none"/>
        </w:rPr>
        <w:t xml:space="preserve"> Any updates will be published on their official websites.</w:t>
      </w:r>
    </w:p>
    <w:p w14:paraId="343CF7CD"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0553BD1F"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4. How to Participate</w:t>
      </w:r>
    </w:p>
    <w:p w14:paraId="788B051B"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4.1. To qualify for the Promotion and receive a reward, you must complete all of the following during the Promotion Period:</w:t>
      </w:r>
    </w:p>
    <w:p w14:paraId="084FDB84" w14:textId="265A9A4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 apply for and receive a HUMO card issued by </w:t>
      </w:r>
      <w:r w:rsidRPr="000F1725">
        <w:rPr>
          <w:rFonts w:eastAsia="Times New Roman" w:cs="Times New Roman"/>
          <w:kern w:val="0"/>
          <w:sz w:val="24"/>
          <w:szCs w:val="24"/>
          <w:lang w:val="en-US" w:eastAsia="ru-RU"/>
          <w14:ligatures w14:val="none"/>
        </w:rPr>
        <w:t>Garant bank (</w:t>
      </w:r>
      <w:r w:rsidRPr="000F1725">
        <w:rPr>
          <w:rFonts w:eastAsia="Times New Roman" w:cs="Times New Roman"/>
          <w:kern w:val="0"/>
          <w:sz w:val="24"/>
          <w:szCs w:val="24"/>
          <w:lang w:val="en-US" w:eastAsia="ru-RU"/>
          <w14:ligatures w14:val="none"/>
        </w:rPr>
        <w:t>either at a branch or through the mobile app);</w:t>
      </w:r>
    </w:p>
    <w:p w14:paraId="7AA5106B"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 make a fuel purchase (gasoline, diesel, or compressed gas) or pay for electric vehicle charging in the amount of at least </w:t>
      </w:r>
      <w:r w:rsidRPr="000F1725">
        <w:rPr>
          <w:rFonts w:eastAsia="Times New Roman" w:cs="Times New Roman"/>
          <w:b/>
          <w:bCs/>
          <w:kern w:val="0"/>
          <w:sz w:val="24"/>
          <w:szCs w:val="24"/>
          <w:lang w:val="en-US" w:eastAsia="ru-RU"/>
          <w14:ligatures w14:val="none"/>
        </w:rPr>
        <w:t>UZS 80,000</w:t>
      </w:r>
      <w:r w:rsidRPr="000F1725">
        <w:rPr>
          <w:rFonts w:eastAsia="Times New Roman" w:cs="Times New Roman"/>
          <w:kern w:val="0"/>
          <w:sz w:val="24"/>
          <w:szCs w:val="24"/>
          <w:lang w:val="en-US" w:eastAsia="ru-RU"/>
          <w14:ligatures w14:val="none"/>
        </w:rPr>
        <w:t xml:space="preserve"> at any fuel station or charging station within Uzbekistan using your HUMO card.</w:t>
      </w:r>
    </w:p>
    <w:p w14:paraId="2973E54A" w14:textId="3F655550"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lastRenderedPageBreak/>
        <w:t xml:space="preserve">4.2. Only HUMO cards issued by </w:t>
      </w:r>
      <w:r w:rsidRPr="000F1725">
        <w:rPr>
          <w:rFonts w:eastAsia="Times New Roman" w:cs="Times New Roman"/>
          <w:kern w:val="0"/>
          <w:sz w:val="24"/>
          <w:szCs w:val="24"/>
          <w:lang w:val="en-US" w:eastAsia="ru-RU"/>
          <w14:ligatures w14:val="none"/>
        </w:rPr>
        <w:t>Garant bank are</w:t>
      </w:r>
      <w:r w:rsidRPr="000F1725">
        <w:rPr>
          <w:rFonts w:eastAsia="Times New Roman" w:cs="Times New Roman"/>
          <w:kern w:val="0"/>
          <w:sz w:val="24"/>
          <w:szCs w:val="24"/>
          <w:lang w:val="en-US" w:eastAsia="ru-RU"/>
          <w14:ligatures w14:val="none"/>
        </w:rPr>
        <w:t xml:space="preserve"> eligible. Co-badged cards (linked with international payment systems) are not eligible.</w:t>
      </w:r>
    </w:p>
    <w:p w14:paraId="5E300AA4"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4.3. During the Promotion Period, HUMO cards are issued </w:t>
      </w:r>
      <w:r w:rsidRPr="000F1725">
        <w:rPr>
          <w:rFonts w:eastAsia="Times New Roman" w:cs="Times New Roman"/>
          <w:b/>
          <w:bCs/>
          <w:kern w:val="0"/>
          <w:sz w:val="24"/>
          <w:szCs w:val="24"/>
          <w:lang w:val="en-US" w:eastAsia="ru-RU"/>
          <w14:ligatures w14:val="none"/>
        </w:rPr>
        <w:t>free of charge</w:t>
      </w:r>
      <w:r w:rsidRPr="000F1725">
        <w:rPr>
          <w:rFonts w:eastAsia="Times New Roman" w:cs="Times New Roman"/>
          <w:kern w:val="0"/>
          <w:sz w:val="24"/>
          <w:szCs w:val="24"/>
          <w:lang w:val="en-US" w:eastAsia="ru-RU"/>
          <w14:ligatures w14:val="none"/>
        </w:rPr>
        <w:t>.</w:t>
      </w:r>
    </w:p>
    <w:p w14:paraId="4102A589"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6BD435CD"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5. Reward and Payment</w:t>
      </w:r>
    </w:p>
    <w:p w14:paraId="4720EDD6" w14:textId="621C788C"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5.1. Once the conditions in Section 4.1 are met, the </w:t>
      </w:r>
      <w:r w:rsidRPr="000F1725">
        <w:rPr>
          <w:rFonts w:eastAsia="Times New Roman" w:cs="Times New Roman"/>
          <w:kern w:val="0"/>
          <w:sz w:val="24"/>
          <w:szCs w:val="24"/>
          <w:lang w:val="en-US" w:eastAsia="ru-RU"/>
          <w14:ligatures w14:val="none"/>
        </w:rPr>
        <w:t>NIPC will</w:t>
      </w:r>
      <w:r w:rsidRPr="000F1725">
        <w:rPr>
          <w:rFonts w:eastAsia="Times New Roman" w:cs="Times New Roman"/>
          <w:kern w:val="0"/>
          <w:sz w:val="24"/>
          <w:szCs w:val="24"/>
          <w:lang w:val="en-US" w:eastAsia="ru-RU"/>
          <w14:ligatures w14:val="none"/>
        </w:rPr>
        <w:t xml:space="preserve"> generate a list of eligible participants and submit it to </w:t>
      </w:r>
      <w:r w:rsidRPr="000F1725">
        <w:rPr>
          <w:rFonts w:eastAsia="Times New Roman" w:cs="Times New Roman"/>
          <w:kern w:val="0"/>
          <w:sz w:val="24"/>
          <w:szCs w:val="24"/>
          <w:lang w:val="en-US" w:eastAsia="ru-RU"/>
          <w14:ligatures w14:val="none"/>
        </w:rPr>
        <w:t>Garant bank.</w:t>
      </w:r>
      <w:r w:rsidRPr="000F1725">
        <w:rPr>
          <w:rFonts w:eastAsia="Times New Roman" w:cs="Times New Roman"/>
          <w:kern w:val="0"/>
          <w:sz w:val="24"/>
          <w:szCs w:val="24"/>
          <w:lang w:val="en-US" w:eastAsia="ru-RU"/>
          <w14:ligatures w14:val="none"/>
        </w:rPr>
        <w:t xml:space="preserve"> The Bank will then credit a fixed reward of </w:t>
      </w:r>
      <w:r w:rsidRPr="000F1725">
        <w:rPr>
          <w:rFonts w:eastAsia="Times New Roman" w:cs="Times New Roman"/>
          <w:b/>
          <w:bCs/>
          <w:kern w:val="0"/>
          <w:sz w:val="24"/>
          <w:szCs w:val="24"/>
          <w:lang w:val="en-US" w:eastAsia="ru-RU"/>
          <w14:ligatures w14:val="none"/>
        </w:rPr>
        <w:t>UZS 60,000</w:t>
      </w:r>
      <w:r w:rsidRPr="000F1725">
        <w:rPr>
          <w:rFonts w:eastAsia="Times New Roman" w:cs="Times New Roman"/>
          <w:kern w:val="0"/>
          <w:sz w:val="24"/>
          <w:szCs w:val="24"/>
          <w:lang w:val="en-US" w:eastAsia="ru-RU"/>
          <w14:ligatures w14:val="none"/>
        </w:rPr>
        <w:t xml:space="preserve"> to the participant’s card.</w:t>
      </w:r>
    </w:p>
    <w:p w14:paraId="55510807" w14:textId="07CC1A4B"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This amount is stated </w:t>
      </w:r>
      <w:r w:rsidRPr="000F1725">
        <w:rPr>
          <w:rFonts w:eastAsia="Times New Roman" w:cs="Times New Roman"/>
          <w:b/>
          <w:bCs/>
          <w:kern w:val="0"/>
          <w:sz w:val="24"/>
          <w:szCs w:val="24"/>
          <w:lang w:val="en-US" w:eastAsia="ru-RU"/>
          <w14:ligatures w14:val="none"/>
        </w:rPr>
        <w:t>net of applicable taxes</w:t>
      </w:r>
      <w:r w:rsidRPr="000F1725">
        <w:rPr>
          <w:rFonts w:eastAsia="Times New Roman" w:cs="Times New Roman"/>
          <w:kern w:val="0"/>
          <w:sz w:val="24"/>
          <w:szCs w:val="24"/>
          <w:lang w:val="en-US" w:eastAsia="ru-RU"/>
          <w14:ligatures w14:val="none"/>
        </w:rPr>
        <w:t xml:space="preserve">. </w:t>
      </w:r>
      <w:r w:rsidRPr="000F1725">
        <w:rPr>
          <w:rFonts w:eastAsia="Times New Roman" w:cs="Times New Roman"/>
          <w:kern w:val="0"/>
          <w:sz w:val="24"/>
          <w:szCs w:val="24"/>
          <w:lang w:val="en-US" w:eastAsia="ru-RU"/>
          <w14:ligatures w14:val="none"/>
        </w:rPr>
        <w:t>Garant bank will</w:t>
      </w:r>
      <w:r w:rsidRPr="000F1725">
        <w:rPr>
          <w:rFonts w:eastAsia="Times New Roman" w:cs="Times New Roman"/>
          <w:kern w:val="0"/>
          <w:sz w:val="24"/>
          <w:szCs w:val="24"/>
          <w:lang w:val="en-US" w:eastAsia="ru-RU"/>
          <w14:ligatures w14:val="none"/>
        </w:rPr>
        <w:t xml:space="preserve"> withhold and remit any required taxes in accordance with applicable law.</w:t>
      </w:r>
    </w:p>
    <w:p w14:paraId="20ADD3DB"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5.2. The reward amount is fixed and does not depend on how much the transaction exceeds the minimum threshold.</w:t>
      </w:r>
    </w:p>
    <w:p w14:paraId="47A52DD5"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5.3. The reward will be credited to the participant’s HUMO card within </w:t>
      </w:r>
      <w:r w:rsidRPr="000F1725">
        <w:rPr>
          <w:rFonts w:eastAsia="Times New Roman" w:cs="Times New Roman"/>
          <w:b/>
          <w:bCs/>
          <w:kern w:val="0"/>
          <w:sz w:val="24"/>
          <w:szCs w:val="24"/>
          <w:lang w:val="en-US" w:eastAsia="ru-RU"/>
          <w14:ligatures w14:val="none"/>
        </w:rPr>
        <w:t>three (3) business days</w:t>
      </w:r>
      <w:r w:rsidRPr="000F1725">
        <w:rPr>
          <w:rFonts w:eastAsia="Times New Roman" w:cs="Times New Roman"/>
          <w:kern w:val="0"/>
          <w:sz w:val="24"/>
          <w:szCs w:val="24"/>
          <w:lang w:val="en-US" w:eastAsia="ru-RU"/>
          <w14:ligatures w14:val="none"/>
        </w:rPr>
        <w:t xml:space="preserve"> of the qualifying transaction.</w:t>
      </w:r>
    </w:p>
    <w:p w14:paraId="26DC23D7"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5.4. Each participant (based on their personal identification number) is eligible to receive the reward </w:t>
      </w:r>
      <w:r w:rsidRPr="000F1725">
        <w:rPr>
          <w:rFonts w:eastAsia="Times New Roman" w:cs="Times New Roman"/>
          <w:b/>
          <w:bCs/>
          <w:kern w:val="0"/>
          <w:sz w:val="24"/>
          <w:szCs w:val="24"/>
          <w:lang w:val="en-US" w:eastAsia="ru-RU"/>
          <w14:ligatures w14:val="none"/>
        </w:rPr>
        <w:t>only once</w:t>
      </w:r>
      <w:r w:rsidRPr="000F1725">
        <w:rPr>
          <w:rFonts w:eastAsia="Times New Roman" w:cs="Times New Roman"/>
          <w:kern w:val="0"/>
          <w:sz w:val="24"/>
          <w:szCs w:val="24"/>
          <w:lang w:val="en-US" w:eastAsia="ru-RU"/>
          <w14:ligatures w14:val="none"/>
        </w:rPr>
        <w:t>, for their first qualifying transaction during the Promotion Period.</w:t>
      </w:r>
    </w:p>
    <w:p w14:paraId="6657B250" w14:textId="371ACBCA"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5.5. All reward payments are made exclusively by </w:t>
      </w:r>
      <w:r w:rsidRPr="000F1725">
        <w:rPr>
          <w:rFonts w:eastAsia="Times New Roman" w:cs="Times New Roman"/>
          <w:kern w:val="0"/>
          <w:sz w:val="24"/>
          <w:szCs w:val="24"/>
          <w:lang w:val="en-US" w:eastAsia="ru-RU"/>
          <w14:ligatures w14:val="none"/>
        </w:rPr>
        <w:t>Garant bank.</w:t>
      </w:r>
    </w:p>
    <w:p w14:paraId="057D919D"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0F9911E8"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6. Restrictions</w:t>
      </w:r>
    </w:p>
    <w:p w14:paraId="7E509B16"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6.1. Funds credited as part of the Promotion:</w:t>
      </w:r>
    </w:p>
    <w:p w14:paraId="755AA8D4" w14:textId="77777777" w:rsidR="000F1725" w:rsidRPr="000F1725" w:rsidRDefault="000F1725" w:rsidP="000F1725">
      <w:pPr>
        <w:spacing w:after="0"/>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cannot be withdrawn as cash (unless otherwise allowed under Bank policies);</w:t>
      </w:r>
      <w:r w:rsidRPr="000F1725">
        <w:rPr>
          <w:rFonts w:eastAsia="Times New Roman" w:cs="Times New Roman"/>
          <w:kern w:val="0"/>
          <w:sz w:val="24"/>
          <w:szCs w:val="24"/>
          <w:lang w:val="en-US" w:eastAsia="ru-RU"/>
          <w14:ligatures w14:val="none"/>
        </w:rPr>
        <w:br/>
        <w:t>— may be subject to transfer restrictions;</w:t>
      </w:r>
      <w:r w:rsidRPr="000F1725">
        <w:rPr>
          <w:rFonts w:eastAsia="Times New Roman" w:cs="Times New Roman"/>
          <w:kern w:val="0"/>
          <w:sz w:val="24"/>
          <w:szCs w:val="24"/>
          <w:lang w:val="en-US" w:eastAsia="ru-RU"/>
          <w14:ligatures w14:val="none"/>
        </w:rPr>
        <w:br/>
        <w:t>— must be used in accordance with standard card usage rules.</w:t>
      </w:r>
    </w:p>
    <w:p w14:paraId="320BC760"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6.2. The Bank reserves the right to impose additional safeguards to prevent fraud or misuse.</w:t>
      </w:r>
    </w:p>
    <w:p w14:paraId="0AF3B97B"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72F1A23D"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7. Rights and Responsibilities</w:t>
      </w:r>
    </w:p>
    <w:p w14:paraId="3AE9F7C5"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7.1. Participants have the right to review these terms and claim the reward upon meeting all Promotion requirements.</w:t>
      </w:r>
    </w:p>
    <w:p w14:paraId="3CD312EA" w14:textId="77777777" w:rsidR="000F1725" w:rsidRPr="000F1725" w:rsidRDefault="000F1725" w:rsidP="000F1725">
      <w:pPr>
        <w:spacing w:after="0"/>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7.2. Participants must:</w:t>
      </w:r>
      <w:r w:rsidRPr="000F1725">
        <w:rPr>
          <w:rFonts w:eastAsia="Times New Roman" w:cs="Times New Roman"/>
          <w:kern w:val="0"/>
          <w:sz w:val="24"/>
          <w:szCs w:val="24"/>
          <w:lang w:val="en-US" w:eastAsia="ru-RU"/>
          <w14:ligatures w14:val="none"/>
        </w:rPr>
        <w:br/>
        <w:t>— comply with these terms;</w:t>
      </w:r>
      <w:r w:rsidRPr="000F1725">
        <w:rPr>
          <w:rFonts w:eastAsia="Times New Roman" w:cs="Times New Roman"/>
          <w:kern w:val="0"/>
          <w:sz w:val="24"/>
          <w:szCs w:val="24"/>
          <w:lang w:val="en-US" w:eastAsia="ru-RU"/>
          <w14:ligatures w14:val="none"/>
        </w:rPr>
        <w:br/>
        <w:t>— provide accurate and complete information to the Bank.</w:t>
      </w:r>
    </w:p>
    <w:p w14:paraId="08896664" w14:textId="0B0633C6"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7.3. HUMO and </w:t>
      </w:r>
      <w:r w:rsidRPr="000F1725">
        <w:rPr>
          <w:rFonts w:eastAsia="Times New Roman" w:cs="Times New Roman"/>
          <w:kern w:val="0"/>
          <w:sz w:val="24"/>
          <w:szCs w:val="24"/>
          <w:lang w:val="en-US" w:eastAsia="ru-RU"/>
          <w14:ligatures w14:val="none"/>
        </w:rPr>
        <w:t>Garant bank will</w:t>
      </w:r>
      <w:r w:rsidRPr="000F1725">
        <w:rPr>
          <w:rFonts w:eastAsia="Times New Roman" w:cs="Times New Roman"/>
          <w:kern w:val="0"/>
          <w:sz w:val="24"/>
          <w:szCs w:val="24"/>
          <w:lang w:val="en-US" w:eastAsia="ru-RU"/>
          <w14:ligatures w14:val="none"/>
        </w:rPr>
        <w:t xml:space="preserve"> administer the Promotion in accordance with this Offer and ensure the confidentiality of participant data.</w:t>
      </w:r>
    </w:p>
    <w:p w14:paraId="2473B0AA"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4CD6AB5B"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8. Personal Data</w:t>
      </w:r>
    </w:p>
    <w:p w14:paraId="627894B4"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8.1. The Bank reserves the right to amend the terms of the Promotion (including its duration) by publishing updated information on its official channels. Such changes will not affect obligations already owed to participants who have qualified, unless otherwise required by law.</w:t>
      </w:r>
    </w:p>
    <w:p w14:paraId="7BC328D1"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p>
    <w:p w14:paraId="25D20CF5" w14:textId="77777777" w:rsidR="000F1725" w:rsidRPr="000F1725" w:rsidRDefault="000F1725" w:rsidP="000F1725">
      <w:pPr>
        <w:pStyle w:val="af0"/>
        <w:jc w:val="both"/>
        <w:rPr>
          <w:b/>
          <w:bCs/>
          <w:sz w:val="24"/>
          <w:szCs w:val="24"/>
          <w:lang w:val="en-US" w:eastAsia="ru-RU"/>
        </w:rPr>
      </w:pPr>
      <w:r w:rsidRPr="000F1725">
        <w:rPr>
          <w:b/>
          <w:bCs/>
          <w:sz w:val="24"/>
          <w:szCs w:val="24"/>
          <w:lang w:val="en-US" w:eastAsia="ru-RU"/>
        </w:rPr>
        <w:t>9. Final Terms</w:t>
      </w:r>
    </w:p>
    <w:p w14:paraId="0647E3A1" w14:textId="0AC9E4D9"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 xml:space="preserve">9.1. This Offer becomes effective once published on the official websites of HUMO and </w:t>
      </w:r>
      <w:r w:rsidRPr="000F1725">
        <w:rPr>
          <w:rFonts w:eastAsia="Times New Roman" w:cs="Times New Roman"/>
          <w:kern w:val="0"/>
          <w:sz w:val="24"/>
          <w:szCs w:val="24"/>
          <w:lang w:val="en-US" w:eastAsia="ru-RU"/>
          <w14:ligatures w14:val="none"/>
        </w:rPr>
        <w:t>Garant bank.</w:t>
      </w:r>
    </w:p>
    <w:p w14:paraId="0EF45C0D"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9.2. You accept this Offer by completing the required actions, including obtaining and using the card as described.</w:t>
      </w:r>
    </w:p>
    <w:p w14:paraId="4F7C19EA" w14:textId="77777777" w:rsidR="000F1725" w:rsidRPr="000F1725" w:rsidRDefault="000F1725" w:rsidP="000F1725">
      <w:pPr>
        <w:spacing w:after="0"/>
        <w:jc w:val="both"/>
        <w:rPr>
          <w:rFonts w:eastAsia="Times New Roman" w:cs="Times New Roman"/>
          <w:kern w:val="0"/>
          <w:sz w:val="24"/>
          <w:szCs w:val="24"/>
          <w:lang w:val="en-US" w:eastAsia="ru-RU"/>
          <w14:ligatures w14:val="none"/>
        </w:rPr>
      </w:pPr>
      <w:r w:rsidRPr="000F1725">
        <w:rPr>
          <w:rFonts w:eastAsia="Times New Roman" w:cs="Times New Roman"/>
          <w:kern w:val="0"/>
          <w:sz w:val="24"/>
          <w:szCs w:val="24"/>
          <w:lang w:val="en-US" w:eastAsia="ru-RU"/>
          <w14:ligatures w14:val="none"/>
        </w:rPr>
        <w:t>9.3. Any matters not covered in this Offer will be governed by the laws of the Republic of Uzbekistan.</w:t>
      </w:r>
    </w:p>
    <w:p w14:paraId="06D24B10" w14:textId="13E919CC" w:rsidR="00F12C76" w:rsidRPr="000F1725" w:rsidRDefault="00F12C76" w:rsidP="000F1725">
      <w:pPr>
        <w:spacing w:after="0"/>
        <w:rPr>
          <w:sz w:val="24"/>
          <w:szCs w:val="24"/>
          <w:lang w:val="en-US"/>
        </w:rPr>
      </w:pPr>
    </w:p>
    <w:sectPr w:rsidR="00F12C76" w:rsidRPr="000F1725" w:rsidSect="006C0B77">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E6E4" w14:textId="77777777" w:rsidR="00B754A9" w:rsidRDefault="00B754A9" w:rsidP="00763756">
      <w:pPr>
        <w:spacing w:after="0"/>
      </w:pPr>
      <w:r>
        <w:separator/>
      </w:r>
    </w:p>
  </w:endnote>
  <w:endnote w:type="continuationSeparator" w:id="0">
    <w:p w14:paraId="7DEE04C6" w14:textId="77777777" w:rsidR="00B754A9" w:rsidRDefault="00B754A9" w:rsidP="00763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4758605"/>
      <w:docPartObj>
        <w:docPartGallery w:val="Page Numbers (Bottom of Page)"/>
        <w:docPartUnique/>
      </w:docPartObj>
    </w:sdtPr>
    <w:sdtContent>
      <w:p w14:paraId="1D705228" w14:textId="6F266896" w:rsidR="00763756" w:rsidRPr="00763756" w:rsidRDefault="00763756">
        <w:pPr>
          <w:pStyle w:val="ae"/>
          <w:jc w:val="right"/>
          <w:rPr>
            <w:sz w:val="24"/>
            <w:szCs w:val="24"/>
          </w:rPr>
        </w:pPr>
        <w:r w:rsidRPr="00763756">
          <w:rPr>
            <w:sz w:val="24"/>
            <w:szCs w:val="24"/>
          </w:rPr>
          <w:fldChar w:fldCharType="begin"/>
        </w:r>
        <w:r w:rsidRPr="00763756">
          <w:rPr>
            <w:sz w:val="24"/>
            <w:szCs w:val="24"/>
          </w:rPr>
          <w:instrText>PAGE   \* MERGEFORMAT</w:instrText>
        </w:r>
        <w:r w:rsidRPr="00763756">
          <w:rPr>
            <w:sz w:val="24"/>
            <w:szCs w:val="24"/>
          </w:rPr>
          <w:fldChar w:fldCharType="separate"/>
        </w:r>
        <w:r w:rsidR="008825BD">
          <w:rPr>
            <w:noProof/>
            <w:sz w:val="24"/>
            <w:szCs w:val="24"/>
          </w:rPr>
          <w:t>3</w:t>
        </w:r>
        <w:r w:rsidRPr="00763756">
          <w:rPr>
            <w:sz w:val="24"/>
            <w:szCs w:val="24"/>
          </w:rPr>
          <w:fldChar w:fldCharType="end"/>
        </w:r>
      </w:p>
    </w:sdtContent>
  </w:sdt>
  <w:p w14:paraId="0CA80ADB" w14:textId="77777777" w:rsidR="00763756" w:rsidRDefault="0076375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17C5" w14:textId="77777777" w:rsidR="00B754A9" w:rsidRDefault="00B754A9" w:rsidP="00763756">
      <w:pPr>
        <w:spacing w:after="0"/>
      </w:pPr>
      <w:r>
        <w:separator/>
      </w:r>
    </w:p>
  </w:footnote>
  <w:footnote w:type="continuationSeparator" w:id="0">
    <w:p w14:paraId="421A493B" w14:textId="77777777" w:rsidR="00B754A9" w:rsidRDefault="00B754A9" w:rsidP="00763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9CD3" w14:textId="24D0B427" w:rsidR="00763756" w:rsidRDefault="00763756" w:rsidP="00763756">
    <w:pPr>
      <w:pStyle w:val="ac"/>
      <w:jc w:val="right"/>
    </w:pPr>
    <w:r w:rsidRPr="00763756">
      <w:rPr>
        <w:noProof/>
        <w:lang w:eastAsia="ru-RU"/>
      </w:rPr>
      <w:drawing>
        <wp:inline distT="0" distB="0" distL="0" distR="0" wp14:anchorId="56D09E1D" wp14:editId="185F504C">
          <wp:extent cx="1219200" cy="465056"/>
          <wp:effectExtent l="0" t="0" r="0" b="0"/>
          <wp:docPr id="309364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553" cy="469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A82"/>
    <w:multiLevelType w:val="multilevel"/>
    <w:tmpl w:val="8D3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48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6"/>
    <w:rsid w:val="000F1725"/>
    <w:rsid w:val="00230CFC"/>
    <w:rsid w:val="00243ED2"/>
    <w:rsid w:val="00252856"/>
    <w:rsid w:val="003979F2"/>
    <w:rsid w:val="003E3985"/>
    <w:rsid w:val="004F0AA6"/>
    <w:rsid w:val="0052001A"/>
    <w:rsid w:val="005C2040"/>
    <w:rsid w:val="006C0B77"/>
    <w:rsid w:val="00763756"/>
    <w:rsid w:val="007A4EFE"/>
    <w:rsid w:val="008144EF"/>
    <w:rsid w:val="008242FF"/>
    <w:rsid w:val="00870751"/>
    <w:rsid w:val="008825BD"/>
    <w:rsid w:val="0089671A"/>
    <w:rsid w:val="008A5057"/>
    <w:rsid w:val="008A6283"/>
    <w:rsid w:val="008E0299"/>
    <w:rsid w:val="00922C48"/>
    <w:rsid w:val="00966DA8"/>
    <w:rsid w:val="00B42EDF"/>
    <w:rsid w:val="00B754A9"/>
    <w:rsid w:val="00B915B7"/>
    <w:rsid w:val="00EA59DF"/>
    <w:rsid w:val="00EB3937"/>
    <w:rsid w:val="00EE4070"/>
    <w:rsid w:val="00F12C76"/>
    <w:rsid w:val="00FB3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A49A"/>
  <w15:chartTrackingRefBased/>
  <w15:docId w15:val="{AACE97B7-D470-4D72-A342-E25EA5A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637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637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6375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6375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6375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637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6375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6375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6375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75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6375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6375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6375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6375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6375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6375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6375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63756"/>
    <w:rPr>
      <w:rFonts w:eastAsiaTheme="majorEastAsia" w:cstheme="majorBidi"/>
      <w:color w:val="272727" w:themeColor="text1" w:themeTint="D8"/>
      <w:sz w:val="28"/>
    </w:rPr>
  </w:style>
  <w:style w:type="paragraph" w:styleId="a3">
    <w:name w:val="Title"/>
    <w:basedOn w:val="a"/>
    <w:next w:val="a"/>
    <w:link w:val="a4"/>
    <w:uiPriority w:val="10"/>
    <w:qFormat/>
    <w:rsid w:val="0076375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3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75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637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3756"/>
    <w:pPr>
      <w:spacing w:before="160"/>
      <w:jc w:val="center"/>
    </w:pPr>
    <w:rPr>
      <w:i/>
      <w:iCs/>
      <w:color w:val="404040" w:themeColor="text1" w:themeTint="BF"/>
    </w:rPr>
  </w:style>
  <w:style w:type="character" w:customStyle="1" w:styleId="22">
    <w:name w:val="Цитата 2 Знак"/>
    <w:basedOn w:val="a0"/>
    <w:link w:val="21"/>
    <w:uiPriority w:val="29"/>
    <w:rsid w:val="00763756"/>
    <w:rPr>
      <w:rFonts w:ascii="Times New Roman" w:hAnsi="Times New Roman"/>
      <w:i/>
      <w:iCs/>
      <w:color w:val="404040" w:themeColor="text1" w:themeTint="BF"/>
      <w:sz w:val="28"/>
    </w:rPr>
  </w:style>
  <w:style w:type="paragraph" w:styleId="a7">
    <w:name w:val="List Paragraph"/>
    <w:basedOn w:val="a"/>
    <w:uiPriority w:val="34"/>
    <w:qFormat/>
    <w:rsid w:val="00763756"/>
    <w:pPr>
      <w:ind w:left="720"/>
      <w:contextualSpacing/>
    </w:pPr>
  </w:style>
  <w:style w:type="character" w:styleId="a8">
    <w:name w:val="Intense Emphasis"/>
    <w:basedOn w:val="a0"/>
    <w:uiPriority w:val="21"/>
    <w:qFormat/>
    <w:rsid w:val="00763756"/>
    <w:rPr>
      <w:i/>
      <w:iCs/>
      <w:color w:val="2E74B5" w:themeColor="accent1" w:themeShade="BF"/>
    </w:rPr>
  </w:style>
  <w:style w:type="paragraph" w:styleId="a9">
    <w:name w:val="Intense Quote"/>
    <w:basedOn w:val="a"/>
    <w:next w:val="a"/>
    <w:link w:val="aa"/>
    <w:uiPriority w:val="30"/>
    <w:qFormat/>
    <w:rsid w:val="007637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63756"/>
    <w:rPr>
      <w:rFonts w:ascii="Times New Roman" w:hAnsi="Times New Roman"/>
      <w:i/>
      <w:iCs/>
      <w:color w:val="2E74B5" w:themeColor="accent1" w:themeShade="BF"/>
      <w:sz w:val="28"/>
    </w:rPr>
  </w:style>
  <w:style w:type="character" w:styleId="ab">
    <w:name w:val="Intense Reference"/>
    <w:basedOn w:val="a0"/>
    <w:uiPriority w:val="32"/>
    <w:qFormat/>
    <w:rsid w:val="00763756"/>
    <w:rPr>
      <w:b/>
      <w:bCs/>
      <w:smallCaps/>
      <w:color w:val="2E74B5" w:themeColor="accent1" w:themeShade="BF"/>
      <w:spacing w:val="5"/>
    </w:rPr>
  </w:style>
  <w:style w:type="paragraph" w:styleId="ac">
    <w:name w:val="header"/>
    <w:basedOn w:val="a"/>
    <w:link w:val="ad"/>
    <w:uiPriority w:val="99"/>
    <w:unhideWhenUsed/>
    <w:rsid w:val="00763756"/>
    <w:pPr>
      <w:tabs>
        <w:tab w:val="center" w:pos="4677"/>
        <w:tab w:val="right" w:pos="9355"/>
      </w:tabs>
      <w:spacing w:after="0"/>
    </w:pPr>
  </w:style>
  <w:style w:type="character" w:customStyle="1" w:styleId="ad">
    <w:name w:val="Верхний колонтитул Знак"/>
    <w:basedOn w:val="a0"/>
    <w:link w:val="ac"/>
    <w:uiPriority w:val="99"/>
    <w:rsid w:val="00763756"/>
    <w:rPr>
      <w:rFonts w:ascii="Times New Roman" w:hAnsi="Times New Roman"/>
      <w:sz w:val="28"/>
    </w:rPr>
  </w:style>
  <w:style w:type="paragraph" w:styleId="ae">
    <w:name w:val="footer"/>
    <w:basedOn w:val="a"/>
    <w:link w:val="af"/>
    <w:uiPriority w:val="99"/>
    <w:unhideWhenUsed/>
    <w:rsid w:val="00763756"/>
    <w:pPr>
      <w:tabs>
        <w:tab w:val="center" w:pos="4677"/>
        <w:tab w:val="right" w:pos="9355"/>
      </w:tabs>
      <w:spacing w:after="0"/>
    </w:pPr>
  </w:style>
  <w:style w:type="character" w:customStyle="1" w:styleId="af">
    <w:name w:val="Нижний колонтитул Знак"/>
    <w:basedOn w:val="a0"/>
    <w:link w:val="ae"/>
    <w:uiPriority w:val="99"/>
    <w:rsid w:val="00763756"/>
    <w:rPr>
      <w:rFonts w:ascii="Times New Roman" w:hAnsi="Times New Roman"/>
      <w:sz w:val="28"/>
    </w:rPr>
  </w:style>
  <w:style w:type="paragraph" w:styleId="af0">
    <w:name w:val="No Spacing"/>
    <w:uiPriority w:val="1"/>
    <w:qFormat/>
    <w:rsid w:val="003E398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Xamidova</dc:creator>
  <cp:keywords/>
  <dc:description/>
  <cp:lastModifiedBy>Sabina Xamidova</cp:lastModifiedBy>
  <cp:revision>2</cp:revision>
  <dcterms:created xsi:type="dcterms:W3CDTF">2026-04-03T11:23:00Z</dcterms:created>
  <dcterms:modified xsi:type="dcterms:W3CDTF">2026-04-03T11:23:00Z</dcterms:modified>
</cp:coreProperties>
</file>