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E377" w14:textId="27D5E86F" w:rsidR="00203572" w:rsidRPr="00203572" w:rsidRDefault="00203572" w:rsidP="00166117">
      <w:pPr>
        <w:tabs>
          <w:tab w:val="left" w:pos="709"/>
        </w:tabs>
        <w:spacing w:after="0" w:line="276" w:lineRule="auto"/>
        <w:ind w:right="42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Garant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bank» AJ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tizimida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jismoniy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shaxslarni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raqamli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identifikatsiya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qilish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autentifikatsiya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qilish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QOIDALARI</w:t>
      </w:r>
    </w:p>
    <w:p w14:paraId="2F6EC4AF" w14:textId="77777777" w:rsidR="00203572" w:rsidRDefault="00203572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35097F4" w14:textId="1CE911A4" w:rsidR="00203572" w:rsidRDefault="00203572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Ushbu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Qoidalar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zbekiston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Respublikasining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O‘zbekiston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Respublikasi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Markaziy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banki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to‘g‘risida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Banklar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bank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faoliyati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to‘g‘risida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gi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qonunlari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Mijozlarni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raqamli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qilish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tartibi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to‘g‘risida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gi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nizomga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muvofiq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chiqilgan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. 2021-yil 30-sent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abrdagi 3322-son), </w:t>
      </w: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Garant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ank</w:t>
      </w: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AJ (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keyingi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rinlarda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Bank</w:t>
      </w: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deb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yuritiladi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ning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me’yoriy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hujjatlari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shuningdek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'zbekiston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Respublikasi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Markaziy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bankining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boshqa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normativ-huquqiy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hujjatlari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shaxslarni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bank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tizimida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raqamli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identifikatsiyalash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autentifikatsiya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qilish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tartibi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shartlarini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belgilaydi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DD522B5" w14:textId="14A132A1" w:rsidR="00203572" w:rsidRDefault="00203572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6D67C90" w14:textId="77777777" w:rsidR="00203572" w:rsidRPr="00203572" w:rsidRDefault="00203572" w:rsidP="00166117">
      <w:pPr>
        <w:tabs>
          <w:tab w:val="left" w:pos="709"/>
        </w:tabs>
        <w:spacing w:after="0" w:line="276" w:lineRule="auto"/>
        <w:ind w:right="42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1-bob.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Umumiy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qoidalar</w:t>
      </w:r>
      <w:proofErr w:type="spellEnd"/>
    </w:p>
    <w:p w14:paraId="0F008260" w14:textId="77777777" w:rsidR="00203572" w:rsidRDefault="00203572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D7568C5" w14:textId="09A80CD2" w:rsidR="00203572" w:rsidRPr="00203572" w:rsidRDefault="00203572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Qoidalarda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quyidagi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asosiy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tushunchalar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llaniladi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0C4119D9" w14:textId="417DB907" w:rsidR="00203572" w:rsidRPr="00203572" w:rsidRDefault="00203572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nazorat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qoidalari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Garant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ank</w:t>
      </w: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tizimida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jinoiy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faoliyatdan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olingan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daromadlarni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legallashtirishga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terrorizmni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moliyalashtirishga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ommaviy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qirg‘</w:t>
      </w:r>
      <w:proofErr w:type="gram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qurollarini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tarqatishni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moliyalashtirishga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qarshi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kurashish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bo‘yicha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nazorat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qoidalari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388949DD" w14:textId="01091960" w:rsidR="00203572" w:rsidRPr="00203572" w:rsidRDefault="00203572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raqamli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identifikatsiya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keyingi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o‘</w:t>
      </w:r>
      <w:proofErr w:type="gram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rinlarda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«RI» deb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yuritiladi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– bank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axborot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tizimlari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Biometrik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axborot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tizimidan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foydalangan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holda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ushbu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Qoidalarda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belgilangan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talablarga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muvofiq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shaxsning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shaxsini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tekshirish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tasdiqlash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jarayoni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5E36753" w14:textId="577AC3D8" w:rsidR="00203572" w:rsidRPr="00203572" w:rsidRDefault="00203572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raqamli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autentifikatsiya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keyingi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o‘</w:t>
      </w:r>
      <w:proofErr w:type="gram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rinlarda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«RA» deb </w:t>
      </w: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yuritiladi</w:t>
      </w:r>
      <w:proofErr w:type="spellEnd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ilgari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aniqlangan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mijozdan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olingan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Real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vaqtda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fotosuratni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asl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ma'lumotlari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avtomatlashtirilgan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inson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omilisiz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taqqoslash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orqali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mijozning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shaxsning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shaxsini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tekshirish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tasdiqlash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jarayoni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71FF8CC" w14:textId="3297A0F1" w:rsidR="00203572" w:rsidRDefault="00203572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roʻyxat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—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terrorchilik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faoliyatida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ommaviy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qirgʻin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qurolini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tarqatishda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ishtirok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etuvchi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ishtirok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etishda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gumon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qilinuvchi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shaxslarning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terrorizmga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qurollarni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tarqatishga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qarshi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kurashda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ishtirok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etuvchi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davlat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organlari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taqdim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etgan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maʼlumotlar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asosida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maxsus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vakolatli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davlat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organi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tomonidan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shakllantiriladigan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roʻyxati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mmaviy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qirgʻin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Oʻzbekiston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Respublikasining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boshqa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vakolatli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organlari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shuningdek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xorijiy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davlatlarning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vakolatli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organlari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xalqaro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tashkilotlardan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rasmiy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kanallar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orqali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olingan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maʼlumotlar</w:t>
      </w:r>
      <w:proofErr w:type="spellEnd"/>
      <w:r w:rsidRPr="00203572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D5377BA" w14:textId="27191697" w:rsidR="007C4E4A" w:rsidRPr="007C4E4A" w:rsidRDefault="007C4E4A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davlat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ma’lumotlar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bazasi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keyingi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o‘</w:t>
      </w:r>
      <w:proofErr w:type="gram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rinlarda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DMB</w:t>
      </w:r>
      <w:r w:rsidRPr="00203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» </w:t>
      </w:r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deb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yuritiladi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vakolatli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davlat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organlari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idoralari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tomonidan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qonun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hujjatlarida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ularga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yuklangan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vazifa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vakolatlar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asosida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shakllantiriladigan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shaxslarning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rasmiy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davlat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ma’lumotlar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bazalari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5FB0751F" w14:textId="4A3556A2" w:rsidR="007C4E4A" w:rsidRPr="007C4E4A" w:rsidRDefault="007C4E4A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Biometrik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identifikatsiya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»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axborot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tizimi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keyingi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o‘</w:t>
      </w:r>
      <w:proofErr w:type="gram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rinlarda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«BI» deb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yuritiladi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–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shartnoma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asosida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taqdim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etiladigan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shaxslarning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raqamli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identifikatsiyasi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autentifikatsiyasi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boʻyicha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soʻrovlarni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qayta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ishlash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imkonini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beruvchi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axborot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tizimi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. BI ​​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shaxslarning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shaxsiy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biometrik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ma'lumotlarini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olish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Davlat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ma'lumotlar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bazasi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birlashtirilgan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7E0608B3" w14:textId="6B80EF29" w:rsidR="007C4E4A" w:rsidRDefault="007C4E4A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jismoniy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shaxsning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shaxsini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tasdiqlovchi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hujjat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keyingi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o‘</w:t>
      </w:r>
      <w:proofErr w:type="gram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rinlarda</w:t>
      </w:r>
      <w:proofErr w:type="spellEnd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«STH» deb </w:t>
      </w:r>
      <w:proofErr w:type="spellStart"/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>yuritiladi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–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biometrik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pasport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guvohnomasi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yangi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haydovchilik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guvohnomasi</w:t>
      </w:r>
      <w:proofErr w:type="spellEnd"/>
      <w:r w:rsidRPr="007C4E4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C63E54A" w14:textId="2F602937" w:rsid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B1505EA" w14:textId="28A946CB" w:rsidR="0028797D" w:rsidRDefault="0028797D" w:rsidP="00166117">
      <w:pPr>
        <w:tabs>
          <w:tab w:val="left" w:pos="709"/>
        </w:tabs>
        <w:spacing w:after="0" w:line="276" w:lineRule="auto"/>
        <w:ind w:right="42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79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2-bob. </w:t>
      </w:r>
      <w:proofErr w:type="spellStart"/>
      <w:r w:rsidRPr="0028797D">
        <w:rPr>
          <w:rFonts w:ascii="Times New Roman" w:hAnsi="Times New Roman" w:cs="Times New Roman"/>
          <w:b/>
          <w:sz w:val="24"/>
          <w:szCs w:val="24"/>
          <w:lang w:val="en-US"/>
        </w:rPr>
        <w:t>Asosiy</w:t>
      </w:r>
      <w:proofErr w:type="spellEnd"/>
      <w:r w:rsidRPr="002879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/>
          <w:sz w:val="24"/>
          <w:szCs w:val="24"/>
          <w:lang w:val="en-US"/>
        </w:rPr>
        <w:t>qoidalar</w:t>
      </w:r>
      <w:proofErr w:type="spellEnd"/>
    </w:p>
    <w:p w14:paraId="010DA01C" w14:textId="77777777" w:rsidR="0028797D" w:rsidRP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90B050" w14:textId="77777777" w:rsidR="0028797D" w:rsidRP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Qonunchilik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talablariga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rioya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etilishini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ta’minlash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maqsadida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Bank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muntazam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ravishda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jinoiy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faoliyatdan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olingan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daromadlarni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legallashtirish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terrorizmni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moliyalashtirish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ommaviy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qirg‘</w:t>
      </w:r>
      <w:proofErr w:type="gram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qurollarini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tarqatish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boshqalar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bog‘liq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yuzaga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kelishi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mumkin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bo‘lgan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xavflarni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o‘rganadi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tahlil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qiladi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aniqlash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baholash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monitoring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qilish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boshqarish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hujjatlashtirish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kamaytirishni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amalga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oshiradi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9C8996C" w14:textId="40B17C75" w:rsidR="0028797D" w:rsidRP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Avtomatlashtirilgan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bank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tizimida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keyingi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rinlarda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«ABT»</w:t>
      </w:r>
      <w:r w:rsidRPr="007C4E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deb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yuritiladi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ro‘yxatdan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o‘tish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nazorat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qoidalariga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asosan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yuqori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xavf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toifasiga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kiruvchi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shaxslar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Raqamli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qilish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tartibi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bo‘yicha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hisob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raqamlarini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ochish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taqiqlanadi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FB28C17" w14:textId="77777777" w:rsidR="0028797D" w:rsidRP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Raqamli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identifikatsiyani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amalga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oshirishda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quyidagi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harakatlar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bajarilishi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kerak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3FB52F9D" w14:textId="77777777" w:rsidR="0028797D" w:rsidRP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shaxsning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ma'lumotlarini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uchinchi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shaxslar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tomonidan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ruxsatsiz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kirishdan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himoya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qilish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zarur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huquqiy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tashkiliy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texnik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choralarni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ko'rish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24F06B09" w14:textId="77777777" w:rsidR="0028797D" w:rsidRP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ma’lumotlarining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ishonchliligi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to‘</w:t>
      </w:r>
      <w:proofErr w:type="gram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g‘riligini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ta’minlash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3646F94F" w14:textId="77777777" w:rsidR="0028797D" w:rsidRP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ma’lumotlarini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qalbakilashtirish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ruxsatsiz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zgartirish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oshkor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qilishga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qarshi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choralar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ko‘rish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5BD718A6" w14:textId="77777777" w:rsidR="0028797D" w:rsidRP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ma'lumotlarining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saqlanishi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ishlatilishi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ustidan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nazoratni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ta'minlash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ma'lumotlarni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saqlash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muddati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mijoz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biznes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munosabatlari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tugaganidan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keyin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kamida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besh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yil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);</w:t>
      </w:r>
    </w:p>
    <w:p w14:paraId="65D9870C" w14:textId="77777777" w:rsidR="0028797D" w:rsidRP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toʻlov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xizmatlarini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koʻrsatishda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axborot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xavfsizligi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shu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jumladan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shaxslarni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raqamli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identifikatsiyalashda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xavfsizlik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bogʻliq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operatsion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risklarni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kamaytirish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nazorat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qilish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boʻyicha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chora-tadbirlar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tizimini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taʼminlash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651EC308" w14:textId="77777777" w:rsidR="0028797D" w:rsidRP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aloqa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kanallari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orqali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bank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xizmatlaridan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foydalanishda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mijozlar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faktorli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autentifikatsiya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tartib-qoidalarini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qo‘llash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masalan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shaxs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muloqot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qilishda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foydalanilgan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mobil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telefon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raqamini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ushbu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shaxs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tomonidan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foydalanilganligini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aniqlash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usuli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yordamida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tekshirish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);</w:t>
      </w:r>
    </w:p>
    <w:p w14:paraId="1719FAF3" w14:textId="4B2CC611" w:rsidR="0028797D" w:rsidRDefault="0028797D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ushbu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sohadagi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boshqa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qonun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hujjatlariga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muvofiq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axborot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xavfsizligining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zaruriy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talablarini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llash</w:t>
      </w:r>
      <w:proofErr w:type="spellEnd"/>
      <w:r w:rsidRPr="0028797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FB76A32" w14:textId="0A71C8D9" w:rsid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5CB9E49" w14:textId="567D27D1" w:rsidR="004B3607" w:rsidRDefault="004B3607" w:rsidP="00166117">
      <w:pPr>
        <w:tabs>
          <w:tab w:val="left" w:pos="709"/>
        </w:tabs>
        <w:spacing w:after="0" w:line="276" w:lineRule="auto"/>
        <w:ind w:right="42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3-bob. </w:t>
      </w:r>
      <w:proofErr w:type="spellStart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>Raqamli</w:t>
      </w:r>
      <w:proofErr w:type="spellEnd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>identifikatsiya</w:t>
      </w:r>
      <w:proofErr w:type="spellEnd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>qilish</w:t>
      </w:r>
      <w:proofErr w:type="spellEnd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>tartibi</w:t>
      </w:r>
      <w:proofErr w:type="spellEnd"/>
    </w:p>
    <w:p w14:paraId="5F8428B7" w14:textId="716F7A4F" w:rsidR="004B3607" w:rsidRDefault="004B3607" w:rsidP="00166117">
      <w:pPr>
        <w:tabs>
          <w:tab w:val="left" w:pos="709"/>
        </w:tabs>
        <w:spacing w:after="0" w:line="276" w:lineRule="auto"/>
        <w:ind w:right="42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>shaxsning</w:t>
      </w:r>
      <w:proofErr w:type="spellEnd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/>
          <w:sz w:val="24"/>
          <w:szCs w:val="24"/>
          <w:lang w:val="en-US"/>
        </w:rPr>
        <w:t>autentifikatsiyasi</w:t>
      </w:r>
      <w:proofErr w:type="spellEnd"/>
    </w:p>
    <w:p w14:paraId="5CB42561" w14:textId="77777777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1AD848" w14:textId="77777777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Raqamli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autentifikatsiya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shaxslarga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proofErr w:type="gram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zbekiston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Respublikasi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fuqarolariga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nisbatan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amalga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oshiriladi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CE84042" w14:textId="77777777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6. Bank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Axborot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tizimlari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tomonidan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inson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omilini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hisobga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olmagan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holda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real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vaqt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rejimida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identifikatsiyani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tekshirish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orqali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shaxslarning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raqamli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identifikatsiyasini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autentifikatsiyasini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amalga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oshiradi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4F618CA" w14:textId="4A7EC8BE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7.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shaxslarning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RI/RA bank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axborot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tizimlari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tomonidan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quyidagi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tartibda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amalga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oshiriladi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0021DE0B" w14:textId="5E366D91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a) BI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integratsiyalashgan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2E500B9D" w14:textId="49FC1D26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nazorat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qoidalariga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muvofiq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xavf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darajasi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toifasini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aniqlash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shaxsdan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ma'lumot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oladi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bu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bosqich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amalga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oshirilmaydi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);</w:t>
      </w:r>
    </w:p>
    <w:p w14:paraId="4FDA41AE" w14:textId="00FFB882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ro‘</w:t>
      </w:r>
      <w:proofErr w:type="gram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yxatdan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o‘tgan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mobil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telefon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raqamini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ushbu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tomonidan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foydalanilganligini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aniqlash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imkonini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beruvchi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usuldan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foydalangan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holda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tekshiradi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="009804A2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="009804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804A2">
        <w:rPr>
          <w:rFonts w:ascii="Times New Roman" w:hAnsi="Times New Roman" w:cs="Times New Roman"/>
          <w:bCs/>
          <w:sz w:val="24"/>
          <w:szCs w:val="24"/>
          <w:lang w:val="en-US"/>
        </w:rPr>
        <w:t>martalik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parol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SMS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xabar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yuborish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videoqo‘ng‘iroq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qilish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h.k.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);</w:t>
      </w:r>
    </w:p>
    <w:p w14:paraId="0316888E" w14:textId="4EC98468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shaxsdan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nazorat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qoidalari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talablariga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muvofiq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tegishli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ma’lumotlar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rsatilgan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holda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STH</w:t>
      </w:r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qismlarining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fotosuratini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oladi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128168FC" w14:textId="09B33843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Davlat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maʼlumotlar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bazasiga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soʻrovni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keyinchalik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yuborish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zarur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boʻlgan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STH</w:t>
      </w:r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maʼlumotlarini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seriya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hujjat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raqami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tugʻilgan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sanasi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shaxsning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raqami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oʻqiydi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9A54446" w14:textId="77777777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ushbu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Qoidalarga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muvofiq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real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vaqt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rejimida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shaxsdan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fotosurat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avtoportret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oladi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2438E8CE" w14:textId="09FBB40C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b) BI:</w:t>
      </w:r>
    </w:p>
    <w:p w14:paraId="3647E33B" w14:textId="77777777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Davlat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maʼlumotlar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bazasiga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soʻrov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yuboradi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toʻgʻrisidagi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quyidagi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biometrik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maʼlumotlarni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oladi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7EE51157" w14:textId="77777777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raqamli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fotografiya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34D73EAD" w14:textId="77777777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shaxsning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identifikatsiya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raqami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(PINFL);</w:t>
      </w:r>
    </w:p>
    <w:p w14:paraId="408C474B" w14:textId="77777777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biometrik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pasport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ID-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karta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berilgan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sana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uning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amal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qilish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muddati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berilgan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joyi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6097D6EB" w14:textId="77777777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davlat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tilida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lotin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tilida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ingliz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tilida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mavjud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bo'lsa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familiyasi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ismi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otasining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ismi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3C1CEAEF" w14:textId="5138C36B" w:rsidR="004B3607" w:rsidRPr="004B3607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jinsi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tug'ilgan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mamlakati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tug'ilgan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joyi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millati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fuqaroligi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doimiy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vaqtinchalik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yashash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joyi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4A32E7A7" w14:textId="40E25200" w:rsidR="004B3607" w:rsidRPr="00203572" w:rsidRDefault="004B3607" w:rsidP="00166117">
      <w:pPr>
        <w:tabs>
          <w:tab w:val="left" w:pos="709"/>
        </w:tabs>
        <w:spacing w:after="0" w:line="276" w:lineRule="auto"/>
        <w:ind w:right="42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jismoniy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shaxslar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tomonidan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real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vaqt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rejimida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olingan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fotosuratni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avtoportret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avtomatik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rejimda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inson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omilini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hisobga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olmagan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holda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="009804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DMB dan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olingan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fotosurat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solishtiradi</w:t>
      </w:r>
      <w:proofErr w:type="spellEnd"/>
      <w:r w:rsidRPr="004B360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72542B0D" w14:textId="47C7BC6B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4A2">
        <w:rPr>
          <w:rFonts w:ascii="Times New Roman" w:hAnsi="Times New Roman" w:cs="Times New Roman"/>
          <w:sz w:val="24"/>
          <w:szCs w:val="24"/>
          <w:lang w:val="en-US"/>
        </w:rPr>
        <w:t>c) AB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2048C15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qoidalariga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avtomatik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omilini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hisobga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olmagan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holda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rejimda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04A2">
        <w:rPr>
          <w:rFonts w:ascii="Times New Roman" w:hAnsi="Times New Roman" w:cs="Times New Roman"/>
          <w:sz w:val="24"/>
          <w:szCs w:val="24"/>
          <w:lang w:val="en-US"/>
        </w:rPr>
        <w:t>Ro‘</w:t>
      </w:r>
      <w:proofErr w:type="gramEnd"/>
      <w:r w:rsidRPr="009804A2">
        <w:rPr>
          <w:rFonts w:ascii="Times New Roman" w:hAnsi="Times New Roman" w:cs="Times New Roman"/>
          <w:sz w:val="24"/>
          <w:szCs w:val="24"/>
          <w:lang w:val="en-US"/>
        </w:rPr>
        <w:t>yxat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solishtiradi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7ECCEF" w14:textId="74338019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4A2">
        <w:rPr>
          <w:rFonts w:ascii="Times New Roman" w:hAnsi="Times New Roman" w:cs="Times New Roman"/>
          <w:sz w:val="24"/>
          <w:szCs w:val="24"/>
          <w:lang w:val="en-US"/>
        </w:rPr>
        <w:t>8. Bank BI (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uchinchi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shaxslar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axborot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tizimlari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integratsiyalashgan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RI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9804A2">
        <w:rPr>
          <w:rFonts w:ascii="Times New Roman" w:hAnsi="Times New Roman" w:cs="Times New Roman"/>
          <w:sz w:val="24"/>
          <w:szCs w:val="24"/>
          <w:lang w:val="en-US"/>
        </w:rPr>
        <w:t>zining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axborot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tizimlaridan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foydalanadi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88B55B" w14:textId="571324AB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>I/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foydalaniladigan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axborot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tizimlari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A2374D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9804A2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hududidagi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serverlarda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joylashtirilishi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7307D9C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axborotni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uzatishda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o'zaro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shifrlashni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ta'minlash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A4F8E16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fotosuratlarni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imkoniyatini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ta'minlash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90A8F40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fotosuratlarni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almashtirish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yo'q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qilishdan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ilgari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yaratilgan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fotosuratlardan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foydalanishdan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himoyalangan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265901" w14:textId="1BE98DD5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>I/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shaxslarning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fotosuratlaridan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foydalanishga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urinishlarini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aniqlay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B312B2A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qayta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ishlashni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jumladan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biometrik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ma’lumotlarning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9804A2">
        <w:rPr>
          <w:rFonts w:ascii="Times New Roman" w:hAnsi="Times New Roman" w:cs="Times New Roman"/>
          <w:sz w:val="24"/>
          <w:szCs w:val="24"/>
          <w:lang w:val="en-US"/>
        </w:rPr>
        <w:t>planishi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saqlanishini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ularni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biometrik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ma’lumotlariga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muvofiqlik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darajasi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to‘g‘risidagi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uzatishni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51E61E" w14:textId="2A76A0D0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="008F6B6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>I/</w:t>
      </w:r>
      <w:r w:rsidR="008F6B6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F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oshirishda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shartlar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bajarilishi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8F5CA1D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fotosuratlar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rangli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857A3BC" w14:textId="61B92E8E" w:rsidR="009804A2" w:rsidRPr="009804A2" w:rsidRDefault="008F6B6F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I/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jarayonidan</w:t>
      </w:r>
      <w:proofErr w:type="spellEnd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o'tayotgan</w:t>
      </w:r>
      <w:proofErr w:type="spellEnd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shaxs</w:t>
      </w:r>
      <w:proofErr w:type="spellEnd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bundan</w:t>
      </w:r>
      <w:proofErr w:type="spellEnd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mustasno</w:t>
      </w:r>
      <w:proofErr w:type="spellEnd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shaxslarning</w:t>
      </w:r>
      <w:proofErr w:type="spellEnd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fotosuratda</w:t>
      </w:r>
      <w:proofErr w:type="spellEnd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bo'lishi</w:t>
      </w:r>
      <w:proofErr w:type="spellEnd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taqiqlanadi</w:t>
      </w:r>
      <w:proofErr w:type="spellEnd"/>
      <w:r w:rsidR="009804A2"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313E0A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yuzi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qisman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to'liq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yashirilmagan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yuziga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soya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tushmaydi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yuzi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ko'zoynak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qoplanmagan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shaffof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ko'zoynaklar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bundan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mustasno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1D25B7D6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fotosuratda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yuz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aniq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ko'rinishi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kerak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0A5B0B" w14:textId="7F9E5C15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="008F6B6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>I/</w:t>
      </w:r>
      <w:r w:rsidR="008F6B6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vaqtida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ma’lumotlar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Bankning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axborot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tizimlarida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saqlanadi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75387B7" w14:textId="6A2DEE7A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4A2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8F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o'tkazilgan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identifikatsiya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autentifikatsiya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sanasi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vaqti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natijasi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A8A65B4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biometrik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ma’lumotlarining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ma’lumotlar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bazasidagi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biometrik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ma’lumotlariga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muvofiqligini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natijasi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A6C6548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lastRenderedPageBreak/>
        <w:t>Davlat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ma'lumotlar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bazasidan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ma'lumotlari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jumladan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PINFL),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ular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sana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vaqt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767285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talablarga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fotosuratlar</w:t>
      </w:r>
      <w:proofErr w:type="spellEnd"/>
    </w:p>
    <w:p w14:paraId="7A14196D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Qoidalarning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9-bandi.</w:t>
      </w:r>
    </w:p>
    <w:p w14:paraId="702064E1" w14:textId="6396E62C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r w:rsidR="008F6B6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>I/</w:t>
      </w:r>
      <w:r w:rsidR="008F6B6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hollarda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oshirilmaydi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5CAF65D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mijoz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qoidalariga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xavf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toifasiga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kirsa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65A138A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ma'lumotlarning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ishonchliligiga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shubha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tug'ilganda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8AC9974" w14:textId="588D28AE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4A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F6B6F">
        <w:rPr>
          <w:rFonts w:ascii="Times New Roman" w:hAnsi="Times New Roman" w:cs="Times New Roman"/>
          <w:sz w:val="24"/>
          <w:szCs w:val="24"/>
          <w:lang w:val="en-US"/>
        </w:rPr>
        <w:t xml:space="preserve">MB 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joylashtirilgan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6B6F">
        <w:rPr>
          <w:rFonts w:ascii="Times New Roman" w:hAnsi="Times New Roman" w:cs="Times New Roman"/>
          <w:sz w:val="24"/>
          <w:szCs w:val="24"/>
          <w:lang w:val="en-US"/>
        </w:rPr>
        <w:t xml:space="preserve">STH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dagi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fotosurat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Qoidalarga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fotosuratga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kelishiga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shubha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tug'ilsa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087EEF4" w14:textId="6FCA35A6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shaxsdan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ma’lumotlar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8F6B6F">
        <w:rPr>
          <w:rFonts w:ascii="Times New Roman" w:hAnsi="Times New Roman" w:cs="Times New Roman"/>
          <w:sz w:val="24"/>
          <w:szCs w:val="24"/>
          <w:lang w:val="en-US"/>
        </w:rPr>
        <w:t xml:space="preserve">MB </w:t>
      </w: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joylashtirilgan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ma’lumotlarga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kelmasa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muvofiqligini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imkoni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04A2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9804A2">
        <w:rPr>
          <w:rFonts w:ascii="Times New Roman" w:hAnsi="Times New Roman" w:cs="Times New Roman"/>
          <w:sz w:val="24"/>
          <w:szCs w:val="24"/>
          <w:lang w:val="en-US"/>
        </w:rPr>
        <w:t>lmasa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9E6CB33" w14:textId="77777777" w:rsidR="009804A2" w:rsidRPr="009804A2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fotosurat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Qoidalarning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talablariga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kelmasa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3FC3086" w14:textId="1A1A0A95" w:rsidR="00A8651A" w:rsidRDefault="009804A2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jinoyatdan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daromadlarni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qonuniylashtirish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terrorizmni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moliyalashtirish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ommaviy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qirg‘</w:t>
      </w:r>
      <w:proofErr w:type="gramEnd"/>
      <w:r w:rsidRPr="009804A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qurollarini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tarqatishni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moliyalashtirishga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shubha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04A2">
        <w:rPr>
          <w:rFonts w:ascii="Times New Roman" w:hAnsi="Times New Roman" w:cs="Times New Roman"/>
          <w:sz w:val="24"/>
          <w:szCs w:val="24"/>
          <w:lang w:val="en-US"/>
        </w:rPr>
        <w:t>tug‘ilganda</w:t>
      </w:r>
      <w:proofErr w:type="spellEnd"/>
      <w:r w:rsidRPr="009804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14AB40" w14:textId="57FAAE22" w:rsid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F2AC07" w14:textId="7CBE7303" w:rsidR="005C3C14" w:rsidRPr="005C3C14" w:rsidRDefault="005C3C14" w:rsidP="00150416">
      <w:pPr>
        <w:tabs>
          <w:tab w:val="left" w:pos="41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3C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4-bob. </w:t>
      </w:r>
      <w:proofErr w:type="spellStart"/>
      <w:r w:rsidRPr="005C3C14">
        <w:rPr>
          <w:rFonts w:ascii="Times New Roman" w:hAnsi="Times New Roman" w:cs="Times New Roman"/>
          <w:b/>
          <w:bCs/>
          <w:sz w:val="24"/>
          <w:szCs w:val="24"/>
          <w:lang w:val="en-US"/>
        </w:rPr>
        <w:t>Raqamli</w:t>
      </w:r>
      <w:proofErr w:type="spellEnd"/>
      <w:r w:rsidRPr="005C3C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identifikatsiya</w:t>
      </w:r>
      <w:proofErr w:type="spellEnd"/>
      <w:r w:rsidRPr="005C3C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</w:p>
    <w:p w14:paraId="5E603EB3" w14:textId="6FA62BFE" w:rsidR="005C3C14" w:rsidRPr="005C3C14" w:rsidRDefault="005C3C14" w:rsidP="00150416">
      <w:pPr>
        <w:tabs>
          <w:tab w:val="left" w:pos="41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C3C14">
        <w:rPr>
          <w:rFonts w:ascii="Times New Roman" w:hAnsi="Times New Roman" w:cs="Times New Roman"/>
          <w:b/>
          <w:bCs/>
          <w:sz w:val="24"/>
          <w:szCs w:val="24"/>
          <w:lang w:val="en-US"/>
        </w:rPr>
        <w:t>autentifikatsiyadan</w:t>
      </w:r>
      <w:proofErr w:type="spellEnd"/>
      <w:r w:rsidRPr="005C3C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b/>
          <w:bCs/>
          <w:sz w:val="24"/>
          <w:szCs w:val="24"/>
          <w:lang w:val="en-US"/>
        </w:rPr>
        <w:t>foydalanish</w:t>
      </w:r>
      <w:proofErr w:type="spellEnd"/>
    </w:p>
    <w:p w14:paraId="04EAEFB9" w14:textId="77777777" w:rsid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C9710F" w14:textId="2E260DC4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Raqamli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identifikatsiyadan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5C3C14">
        <w:rPr>
          <w:rFonts w:ascii="Times New Roman" w:hAnsi="Times New Roman" w:cs="Times New Roman"/>
          <w:sz w:val="24"/>
          <w:szCs w:val="24"/>
          <w:lang w:val="en-US"/>
        </w:rPr>
        <w:t>tgan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mijozga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Qoidalarda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talablarni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inobatga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olgan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holda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xizmatlar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ro‘yxati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etilishi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033247" w14:textId="77777777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hisobini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kartasini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ochish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boshqarish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AACA1DD" w14:textId="77777777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elektron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hamyonlarni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ochish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boshqarish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BCA6D7B" w14:textId="77777777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onlayn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mikrokredit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FD6EB7C" w14:textId="77777777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kartalari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elektron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pul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tizimlaridan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foydalangan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holda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transchegaraviy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pul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o'tkazmalarini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314F226" w14:textId="499F315A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kartasini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blok</w:t>
      </w:r>
      <w:r w:rsidRPr="005C3C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59A909F" w14:textId="4EE5D9C6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konvertatsiya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konversiya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operatsiyalari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AADE22" w14:textId="28CF231A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bandda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ko'zda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tutilmagan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xizmatlar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C3C1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tugatgan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mijozga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etilmaydi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1884EF" w14:textId="006B26EC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I dan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o'tgan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mijoz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qoidalariga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xavfli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toifalarga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kiruvchi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operatsiyalarni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oshira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olmaydi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B0A2B5" w14:textId="77777777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Mijozning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raqamli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autentifikatsiyasi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xizmatlar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C3C14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5C3C14">
        <w:rPr>
          <w:rFonts w:ascii="Times New Roman" w:hAnsi="Times New Roman" w:cs="Times New Roman"/>
          <w:sz w:val="24"/>
          <w:szCs w:val="24"/>
          <w:lang w:val="en-US"/>
        </w:rPr>
        <w:t>rsatilganda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D5EEA73" w14:textId="77777777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onlayn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mikrokredit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D54F873" w14:textId="77777777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5C3C14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qonun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hujjatlarida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Bankning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mahalliy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hujjatlarida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nazarda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tutilgan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hollarda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CC0FDF" w14:textId="29C0CEE1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C1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15.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Raqamli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identifikatsiya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mijozlar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oshiriladigan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tranzaksiyalar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cheklovlar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Qoidalarning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1-ilovasida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ko'rsatilgan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89AB6A" w14:textId="77777777" w:rsidR="005C3C14" w:rsidRPr="005C3C14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16. Bank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oldindan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aniqlangan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mijozlarning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maqsadli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auditoriyasiga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nisbatan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mijozlar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oshirilgan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operatsiyalarni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ular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operatsiyalarining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tavakkalchilik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darajasini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baholash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C3C14">
        <w:rPr>
          <w:rFonts w:ascii="Times New Roman" w:hAnsi="Times New Roman" w:cs="Times New Roman"/>
          <w:sz w:val="24"/>
          <w:szCs w:val="24"/>
          <w:lang w:val="en-US"/>
        </w:rPr>
        <w:t>yo‘</w:t>
      </w:r>
      <w:proofErr w:type="gramEnd"/>
      <w:r w:rsidRPr="005C3C14">
        <w:rPr>
          <w:rFonts w:ascii="Times New Roman" w:hAnsi="Times New Roman" w:cs="Times New Roman"/>
          <w:sz w:val="24"/>
          <w:szCs w:val="24"/>
          <w:lang w:val="en-US"/>
        </w:rPr>
        <w:t>li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cheklovlar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qo‘yishi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mumkin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D5658A" w14:textId="7A1AA4BB" w:rsidR="00A5780E" w:rsidRDefault="005C3C14" w:rsidP="00166117">
      <w:pPr>
        <w:tabs>
          <w:tab w:val="left" w:pos="413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Mijozning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C3C14">
        <w:rPr>
          <w:rFonts w:ascii="Times New Roman" w:hAnsi="Times New Roman" w:cs="Times New Roman"/>
          <w:sz w:val="24"/>
          <w:szCs w:val="24"/>
          <w:lang w:val="en-US"/>
        </w:rPr>
        <w:t>I/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natijalari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mijozning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so'rovnomasini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to'ldirish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yuritish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qoidalarida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belgilangan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talablar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3C14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Pr="005C3C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B26CAD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2575A1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3B078F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DE1867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D812D6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DEFFF2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5A8A68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ABE9C5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692929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C15C23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18B548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5C51D9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84B8B7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5FEFB4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855888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CF2086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9D4DA7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834973F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15920A" w14:textId="77777777" w:rsidR="00A5780E" w:rsidRDefault="00A5780E" w:rsidP="0016611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5780E" w:rsidSect="001661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6A96"/>
    <w:multiLevelType w:val="hybridMultilevel"/>
    <w:tmpl w:val="EABE3996"/>
    <w:lvl w:ilvl="0" w:tplc="9E92B6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5F34B2"/>
    <w:multiLevelType w:val="hybridMultilevel"/>
    <w:tmpl w:val="A8F8E0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A252732"/>
    <w:multiLevelType w:val="hybridMultilevel"/>
    <w:tmpl w:val="3BEA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B9C"/>
    <w:rsid w:val="00013965"/>
    <w:rsid w:val="000259BF"/>
    <w:rsid w:val="00081AC3"/>
    <w:rsid w:val="001248EB"/>
    <w:rsid w:val="00150416"/>
    <w:rsid w:val="00166117"/>
    <w:rsid w:val="00203572"/>
    <w:rsid w:val="00206E6E"/>
    <w:rsid w:val="0028797D"/>
    <w:rsid w:val="002B6A8E"/>
    <w:rsid w:val="00315191"/>
    <w:rsid w:val="003E2BE4"/>
    <w:rsid w:val="00460614"/>
    <w:rsid w:val="00470BBB"/>
    <w:rsid w:val="00471A51"/>
    <w:rsid w:val="00472DC0"/>
    <w:rsid w:val="004B3607"/>
    <w:rsid w:val="00553579"/>
    <w:rsid w:val="00571C97"/>
    <w:rsid w:val="00574A3A"/>
    <w:rsid w:val="00576B9C"/>
    <w:rsid w:val="005B05C4"/>
    <w:rsid w:val="005C3C14"/>
    <w:rsid w:val="005E353A"/>
    <w:rsid w:val="005F0076"/>
    <w:rsid w:val="00602AEA"/>
    <w:rsid w:val="00721F0D"/>
    <w:rsid w:val="007C4E4A"/>
    <w:rsid w:val="007F56C1"/>
    <w:rsid w:val="00821251"/>
    <w:rsid w:val="008A0FA8"/>
    <w:rsid w:val="008B0112"/>
    <w:rsid w:val="008D3CD6"/>
    <w:rsid w:val="008F6B6F"/>
    <w:rsid w:val="00922E49"/>
    <w:rsid w:val="00934996"/>
    <w:rsid w:val="00973877"/>
    <w:rsid w:val="009804A2"/>
    <w:rsid w:val="009D6FF1"/>
    <w:rsid w:val="00A44CFC"/>
    <w:rsid w:val="00A5780E"/>
    <w:rsid w:val="00A8651A"/>
    <w:rsid w:val="00AC374E"/>
    <w:rsid w:val="00AC72C2"/>
    <w:rsid w:val="00B01703"/>
    <w:rsid w:val="00B92AFD"/>
    <w:rsid w:val="00B96549"/>
    <w:rsid w:val="00BF429E"/>
    <w:rsid w:val="00C237FE"/>
    <w:rsid w:val="00C61830"/>
    <w:rsid w:val="00C63B0C"/>
    <w:rsid w:val="00D4426D"/>
    <w:rsid w:val="00DD06E8"/>
    <w:rsid w:val="00DF69C0"/>
    <w:rsid w:val="00E03145"/>
    <w:rsid w:val="00ED6A2D"/>
    <w:rsid w:val="00F259F1"/>
    <w:rsid w:val="00F7477D"/>
    <w:rsid w:val="00FB2EFE"/>
    <w:rsid w:val="00F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8E7E"/>
  <w15:chartTrackingRefBased/>
  <w15:docId w15:val="{1EF3EA02-3ED5-421B-89CE-25C300E4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51"/>
    <w:pPr>
      <w:ind w:left="720"/>
      <w:contextualSpacing/>
    </w:pPr>
  </w:style>
  <w:style w:type="paragraph" w:styleId="a4">
    <w:name w:val="No Spacing"/>
    <w:uiPriority w:val="1"/>
    <w:qFormat/>
    <w:rsid w:val="00AC3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0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32051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6153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Otabek Tursunov</cp:lastModifiedBy>
  <cp:revision>22</cp:revision>
  <cp:lastPrinted>2024-03-01T13:45:00Z</cp:lastPrinted>
  <dcterms:created xsi:type="dcterms:W3CDTF">2024-03-01T13:46:00Z</dcterms:created>
  <dcterms:modified xsi:type="dcterms:W3CDTF">2024-03-11T05:13:00Z</dcterms:modified>
</cp:coreProperties>
</file>